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beforeAutospacing="0" w:after="0" w:afterAutospacing="0" w:line="600" w:lineRule="exact"/>
        <w:ind w:firstLine="723" w:firstLineChars="200"/>
        <w:jc w:val="center"/>
        <w:rPr>
          <w:rFonts w:ascii="微软雅黑" w:hAnsi="微软雅黑" w:eastAsia="微软雅黑"/>
          <w:sz w:val="15"/>
          <w:szCs w:val="15"/>
        </w:rPr>
      </w:pPr>
      <w:r>
        <w:rPr>
          <w:rStyle w:val="14"/>
          <w:rFonts w:hint="eastAsia" w:cs="Times New Roman"/>
          <w:sz w:val="36"/>
          <w:szCs w:val="36"/>
        </w:rPr>
        <w:t>临猗县新田村镇银行股份有限公司</w:t>
      </w:r>
    </w:p>
    <w:p>
      <w:pPr>
        <w:pStyle w:val="10"/>
        <w:spacing w:before="0" w:beforeAutospacing="0" w:after="0" w:afterAutospacing="0" w:line="600" w:lineRule="exact"/>
        <w:ind w:firstLine="723" w:firstLineChars="200"/>
        <w:jc w:val="center"/>
        <w:rPr>
          <w:rFonts w:ascii="微软雅黑" w:hAnsi="微软雅黑" w:eastAsia="微软雅黑"/>
          <w:sz w:val="15"/>
          <w:szCs w:val="15"/>
        </w:rPr>
      </w:pPr>
      <w:r>
        <w:rPr>
          <w:rStyle w:val="14"/>
          <w:rFonts w:hint="eastAsia" w:cs="Times New Roman"/>
          <w:sz w:val="36"/>
          <w:szCs w:val="36"/>
        </w:rPr>
        <w:t>2025年度信息披露报告</w:t>
      </w:r>
    </w:p>
    <w:p>
      <w:pPr>
        <w:pStyle w:val="10"/>
        <w:spacing w:before="0" w:beforeAutospacing="0" w:after="0" w:afterAutospacing="0" w:line="600" w:lineRule="exact"/>
        <w:ind w:firstLine="300" w:firstLineChars="200"/>
        <w:jc w:val="center"/>
        <w:rPr>
          <w:rFonts w:ascii="微软雅黑" w:hAnsi="微软雅黑" w:eastAsia="微软雅黑"/>
          <w:sz w:val="15"/>
          <w:szCs w:val="15"/>
        </w:rPr>
      </w:pPr>
      <w:r>
        <w:rPr>
          <w:rFonts w:hint="eastAsia" w:ascii="微软雅黑" w:hAnsi="微软雅黑" w:eastAsia="微软雅黑"/>
          <w:sz w:val="15"/>
          <w:szCs w:val="15"/>
        </w:rPr>
        <w:t> </w:t>
      </w:r>
    </w:p>
    <w:p>
      <w:pPr>
        <w:pStyle w:val="10"/>
        <w:spacing w:before="0" w:beforeAutospacing="0" w:after="0" w:afterAutospacing="0" w:line="600" w:lineRule="exact"/>
        <w:ind w:firstLine="300" w:firstLineChars="200"/>
        <w:jc w:val="center"/>
        <w:rPr>
          <w:rFonts w:ascii="微软雅黑" w:hAnsi="微软雅黑" w:eastAsia="微软雅黑"/>
          <w:sz w:val="15"/>
          <w:szCs w:val="15"/>
        </w:rPr>
      </w:pPr>
      <w:r>
        <w:rPr>
          <w:rFonts w:hint="eastAsia" w:ascii="微软雅黑" w:hAnsi="微软雅黑" w:eastAsia="微软雅黑"/>
          <w:sz w:val="15"/>
          <w:szCs w:val="15"/>
        </w:rPr>
        <w:t> </w:t>
      </w:r>
    </w:p>
    <w:p>
      <w:pPr>
        <w:pStyle w:val="10"/>
        <w:spacing w:before="0" w:beforeAutospacing="0" w:after="0" w:afterAutospacing="0" w:line="600" w:lineRule="exact"/>
        <w:ind w:firstLine="602" w:firstLineChars="200"/>
        <w:jc w:val="center"/>
        <w:rPr>
          <w:rFonts w:ascii="微软雅黑" w:hAnsi="微软雅黑" w:eastAsia="微软雅黑"/>
          <w:sz w:val="15"/>
          <w:szCs w:val="15"/>
        </w:rPr>
      </w:pPr>
      <w:r>
        <w:rPr>
          <w:rStyle w:val="14"/>
          <w:rFonts w:hint="eastAsia" w:cs="Times New Roman"/>
          <w:sz w:val="30"/>
          <w:szCs w:val="30"/>
        </w:rPr>
        <w:t>重要提示</w:t>
      </w:r>
    </w:p>
    <w:p>
      <w:pPr>
        <w:pStyle w:val="10"/>
        <w:spacing w:before="0" w:beforeAutospacing="0" w:after="0" w:afterAutospacing="0" w:line="600" w:lineRule="exact"/>
        <w:ind w:firstLine="600" w:firstLineChars="200"/>
        <w:jc w:val="center"/>
        <w:rPr>
          <w:rFonts w:ascii="仿宋" w:hAnsi="仿宋" w:eastAsia="仿宋"/>
          <w:sz w:val="30"/>
          <w:szCs w:val="30"/>
        </w:rPr>
      </w:pPr>
      <w:r>
        <w:rPr>
          <w:rFonts w:hint="eastAsia" w:ascii="仿宋" w:hAnsi="微软雅黑" w:eastAsia="仿宋"/>
          <w:sz w:val="30"/>
          <w:szCs w:val="30"/>
        </w:rPr>
        <w:t> </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本行董事会、监事会及董事、监事、高级管理人员保证本报告所载资料不存在任何虚假记载、误导性陈述或者重大遗漏，并对其内容的真实性、准确性和完整性承担个别及连带责任。</w:t>
      </w:r>
    </w:p>
    <w:p>
      <w:pPr>
        <w:pStyle w:val="10"/>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本行2025年度财务报告已经鹏盛会计师事务所（特殊普通合伙）根据国内审计准则审计，并出具了标准无保留意见的审计报告。</w:t>
      </w:r>
    </w:p>
    <w:p>
      <w:pPr>
        <w:adjustRightInd/>
        <w:snapToGrid/>
        <w:spacing w:after="0" w:line="600" w:lineRule="exact"/>
        <w:ind w:firstLine="602" w:firstLineChars="200"/>
        <w:jc w:val="center"/>
        <w:outlineLvl w:val="0"/>
        <w:rPr>
          <w:rFonts w:ascii="仿宋" w:hAnsi="仿宋" w:eastAsia="仿宋" w:cs="宋体"/>
          <w:b/>
          <w:bCs/>
          <w:kern w:val="36"/>
          <w:sz w:val="30"/>
          <w:szCs w:val="30"/>
        </w:rPr>
      </w:pPr>
      <w:bookmarkStart w:id="0" w:name="_Toc481079990"/>
      <w:bookmarkStart w:id="71" w:name="_GoBack"/>
      <w:bookmarkEnd w:id="71"/>
      <w:r>
        <w:rPr>
          <w:rFonts w:hint="eastAsia" w:ascii="仿宋" w:hAnsi="仿宋" w:eastAsia="仿宋" w:cs="宋体"/>
          <w:b/>
          <w:bCs/>
          <w:kern w:val="36"/>
          <w:sz w:val="30"/>
          <w:szCs w:val="30"/>
        </w:rPr>
        <w:t>第一章　本行概况</w:t>
      </w:r>
      <w:bookmarkEnd w:id="0"/>
    </w:p>
    <w:p>
      <w:pPr>
        <w:adjustRightInd/>
        <w:snapToGrid/>
        <w:spacing w:after="0" w:line="600" w:lineRule="exact"/>
        <w:ind w:firstLine="600" w:firstLineChars="200"/>
        <w:jc w:val="both"/>
        <w:rPr>
          <w:rFonts w:ascii="仿宋" w:hAnsi="仿宋" w:eastAsia="仿宋" w:cs="宋体"/>
          <w:sz w:val="30"/>
          <w:szCs w:val="30"/>
        </w:rPr>
      </w:pPr>
      <w:r>
        <w:rPr>
          <w:rFonts w:hint="eastAsia" w:ascii="仿宋" w:hAnsi="微软雅黑" w:eastAsia="仿宋" w:cs="宋体"/>
          <w:sz w:val="30"/>
          <w:szCs w:val="30"/>
        </w:rPr>
        <w:t> </w:t>
      </w:r>
    </w:p>
    <w:p>
      <w:pPr>
        <w:adjustRightInd/>
        <w:snapToGrid/>
        <w:spacing w:after="0" w:line="600" w:lineRule="exact"/>
        <w:ind w:firstLine="602" w:firstLineChars="200"/>
        <w:jc w:val="both"/>
        <w:rPr>
          <w:rFonts w:ascii="仿宋" w:hAnsi="仿宋" w:eastAsia="仿宋" w:cs="宋体"/>
          <w:sz w:val="30"/>
          <w:szCs w:val="30"/>
        </w:rPr>
      </w:pPr>
      <w:r>
        <w:rPr>
          <w:rFonts w:hint="eastAsia" w:ascii="仿宋" w:hAnsi="仿宋" w:eastAsia="仿宋" w:cs="Times New Roman"/>
          <w:b/>
          <w:bCs/>
          <w:sz w:val="30"/>
          <w:szCs w:val="30"/>
        </w:rPr>
        <w:t>一、本行注册名称：临猗县新田村镇银行股份有限公司</w:t>
      </w:r>
    </w:p>
    <w:p>
      <w:pPr>
        <w:adjustRightInd/>
        <w:snapToGrid/>
        <w:spacing w:after="0" w:line="600" w:lineRule="exact"/>
        <w:ind w:firstLine="600" w:firstLineChars="200"/>
        <w:jc w:val="both"/>
        <w:rPr>
          <w:rFonts w:ascii="仿宋" w:hAnsi="仿宋" w:eastAsia="仿宋" w:cs="宋体"/>
          <w:sz w:val="30"/>
          <w:szCs w:val="30"/>
        </w:rPr>
      </w:pPr>
      <w:r>
        <w:rPr>
          <w:rFonts w:hint="eastAsia" w:ascii="仿宋" w:hAnsi="仿宋" w:eastAsia="仿宋" w:cs="Times New Roman"/>
          <w:sz w:val="30"/>
          <w:szCs w:val="30"/>
        </w:rPr>
        <w:t>本行英文名称：LinYi County XinTian Village Bank Co</w:t>
      </w:r>
    </w:p>
    <w:p>
      <w:pPr>
        <w:adjustRightInd/>
        <w:snapToGrid/>
        <w:spacing w:after="0" w:line="600" w:lineRule="exact"/>
        <w:ind w:firstLine="602" w:firstLineChars="200"/>
        <w:jc w:val="both"/>
        <w:rPr>
          <w:rFonts w:ascii="仿宋" w:hAnsi="仿宋" w:eastAsia="仿宋" w:cs="宋体"/>
          <w:sz w:val="30"/>
          <w:szCs w:val="30"/>
        </w:rPr>
      </w:pPr>
      <w:r>
        <w:rPr>
          <w:rFonts w:hint="eastAsia" w:ascii="仿宋" w:hAnsi="仿宋" w:eastAsia="仿宋" w:cs="Times New Roman"/>
          <w:b/>
          <w:bCs/>
          <w:sz w:val="30"/>
          <w:szCs w:val="30"/>
        </w:rPr>
        <w:t>二、本法定代表人：</w:t>
      </w:r>
      <w:r>
        <w:rPr>
          <w:rFonts w:hint="eastAsia" w:ascii="仿宋" w:hAnsi="仿宋" w:eastAsia="仿宋" w:cs="Times New Roman"/>
          <w:sz w:val="30"/>
          <w:szCs w:val="30"/>
        </w:rPr>
        <w:t>范晓云</w:t>
      </w:r>
    </w:p>
    <w:p>
      <w:pPr>
        <w:adjustRightInd/>
        <w:snapToGrid/>
        <w:spacing w:after="0" w:line="600" w:lineRule="exact"/>
        <w:ind w:firstLine="602" w:firstLineChars="200"/>
        <w:jc w:val="both"/>
        <w:rPr>
          <w:rFonts w:ascii="仿宋" w:hAnsi="仿宋" w:eastAsia="仿宋" w:cs="宋体"/>
          <w:sz w:val="30"/>
          <w:szCs w:val="30"/>
        </w:rPr>
      </w:pPr>
      <w:r>
        <w:rPr>
          <w:rFonts w:hint="eastAsia" w:ascii="仿宋" w:hAnsi="仿宋" w:eastAsia="仿宋" w:cs="Times New Roman"/>
          <w:b/>
          <w:bCs/>
          <w:sz w:val="30"/>
          <w:szCs w:val="30"/>
        </w:rPr>
        <w:t>三、本行注册地址及办公地址：</w:t>
      </w:r>
      <w:r>
        <w:rPr>
          <w:rFonts w:hint="eastAsia" w:ascii="仿宋" w:hAnsi="仿宋" w:eastAsia="仿宋" w:cs="Times New Roman"/>
          <w:sz w:val="30"/>
          <w:szCs w:val="30"/>
        </w:rPr>
        <w:t>山西省临猗县南环东街518号</w:t>
      </w:r>
    </w:p>
    <w:p>
      <w:pPr>
        <w:adjustRightInd/>
        <w:snapToGrid/>
        <w:spacing w:after="0" w:line="600" w:lineRule="exact"/>
        <w:ind w:firstLine="600" w:firstLineChars="200"/>
        <w:jc w:val="both"/>
        <w:rPr>
          <w:rFonts w:ascii="仿宋" w:hAnsi="仿宋" w:eastAsia="仿宋" w:cs="宋体"/>
          <w:sz w:val="30"/>
          <w:szCs w:val="30"/>
        </w:rPr>
      </w:pPr>
      <w:r>
        <w:rPr>
          <w:rFonts w:hint="eastAsia" w:ascii="仿宋" w:hAnsi="仿宋" w:eastAsia="仿宋" w:cs="Times New Roman"/>
          <w:sz w:val="30"/>
          <w:szCs w:val="30"/>
        </w:rPr>
        <w:t>邮政编码：044100</w:t>
      </w:r>
    </w:p>
    <w:p>
      <w:pPr>
        <w:adjustRightInd/>
        <w:snapToGrid/>
        <w:spacing w:after="0" w:line="600" w:lineRule="exact"/>
        <w:ind w:firstLine="602" w:firstLineChars="200"/>
        <w:jc w:val="both"/>
        <w:rPr>
          <w:rFonts w:ascii="仿宋" w:hAnsi="仿宋" w:eastAsia="仿宋" w:cs="宋体"/>
          <w:sz w:val="30"/>
          <w:szCs w:val="30"/>
        </w:rPr>
      </w:pPr>
      <w:r>
        <w:rPr>
          <w:rFonts w:hint="eastAsia" w:ascii="仿宋" w:hAnsi="仿宋" w:eastAsia="仿宋" w:cs="Times New Roman"/>
          <w:b/>
          <w:bCs/>
          <w:sz w:val="30"/>
          <w:szCs w:val="30"/>
        </w:rPr>
        <w:t>四、本行选定的信息披露方式：</w:t>
      </w:r>
    </w:p>
    <w:p>
      <w:pPr>
        <w:adjustRightInd/>
        <w:snapToGrid/>
        <w:spacing w:after="0" w:line="600" w:lineRule="exact"/>
        <w:ind w:firstLine="600" w:firstLineChars="200"/>
        <w:jc w:val="both"/>
        <w:rPr>
          <w:rFonts w:ascii="仿宋" w:hAnsi="仿宋" w:eastAsia="仿宋" w:cs="宋体"/>
          <w:sz w:val="30"/>
          <w:szCs w:val="30"/>
        </w:rPr>
      </w:pPr>
      <w:r>
        <w:rPr>
          <w:rFonts w:hint="eastAsia" w:ascii="仿宋" w:hAnsi="仿宋" w:eastAsia="仿宋" w:cs="Times New Roman"/>
          <w:sz w:val="30"/>
          <w:szCs w:val="30"/>
        </w:rPr>
        <w:t>年度报告备置地点：本行办公室及主要营业场所</w:t>
      </w:r>
    </w:p>
    <w:p>
      <w:pPr>
        <w:adjustRightInd/>
        <w:snapToGrid/>
        <w:spacing w:after="0" w:line="60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信息披露事务联系人：李少杰</w:t>
      </w:r>
    </w:p>
    <w:p>
      <w:pPr>
        <w:adjustRightInd/>
        <w:snapToGrid/>
        <w:spacing w:after="0" w:line="60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联系电话（传真）：0359-8831222</w:t>
      </w:r>
    </w:p>
    <w:p>
      <w:pPr>
        <w:adjustRightInd/>
        <w:snapToGrid/>
        <w:spacing w:after="0" w:line="600" w:lineRule="exact"/>
        <w:ind w:firstLine="600" w:firstLineChars="200"/>
        <w:jc w:val="both"/>
        <w:rPr>
          <w:rFonts w:ascii="仿宋" w:hAnsi="仿宋" w:eastAsia="仿宋" w:cs="宋体"/>
          <w:sz w:val="30"/>
          <w:szCs w:val="30"/>
        </w:rPr>
      </w:pPr>
      <w:r>
        <w:rPr>
          <w:rFonts w:hint="eastAsia" w:ascii="仿宋" w:hAnsi="仿宋" w:eastAsia="仿宋" w:cs="Times New Roman"/>
          <w:sz w:val="30"/>
          <w:szCs w:val="30"/>
        </w:rPr>
        <w:t>电子邮箱：lyxtczyh@163.com</w:t>
      </w:r>
    </w:p>
    <w:p>
      <w:pPr>
        <w:adjustRightInd/>
        <w:snapToGrid/>
        <w:spacing w:after="0" w:line="600" w:lineRule="exact"/>
        <w:ind w:firstLine="602" w:firstLineChars="200"/>
        <w:jc w:val="both"/>
        <w:rPr>
          <w:rFonts w:ascii="仿宋" w:hAnsi="仿宋" w:eastAsia="仿宋" w:cs="宋体"/>
          <w:sz w:val="30"/>
          <w:szCs w:val="30"/>
        </w:rPr>
      </w:pPr>
      <w:r>
        <w:rPr>
          <w:rFonts w:hint="eastAsia" w:ascii="仿宋" w:hAnsi="仿宋" w:eastAsia="仿宋" w:cs="Times New Roman"/>
          <w:b/>
          <w:bCs/>
          <w:sz w:val="30"/>
          <w:szCs w:val="30"/>
        </w:rPr>
        <w:t>五、其他有关信息：</w:t>
      </w:r>
    </w:p>
    <w:p>
      <w:pPr>
        <w:adjustRightInd/>
        <w:snapToGrid/>
        <w:spacing w:after="0" w:line="600" w:lineRule="exact"/>
        <w:ind w:firstLine="600" w:firstLineChars="200"/>
        <w:jc w:val="both"/>
        <w:rPr>
          <w:rFonts w:ascii="仿宋" w:hAnsi="仿宋" w:eastAsia="仿宋" w:cs="宋体"/>
          <w:sz w:val="30"/>
          <w:szCs w:val="30"/>
        </w:rPr>
      </w:pPr>
      <w:r>
        <w:rPr>
          <w:rFonts w:hint="eastAsia" w:ascii="仿宋" w:hAnsi="仿宋" w:eastAsia="仿宋" w:cs="Times New Roman"/>
          <w:sz w:val="30"/>
          <w:szCs w:val="30"/>
        </w:rPr>
        <w:t>本行经银监会批准成立日期：2014年11月28日</w:t>
      </w:r>
    </w:p>
    <w:p>
      <w:pPr>
        <w:adjustRightInd/>
        <w:snapToGrid/>
        <w:spacing w:after="0" w:line="600" w:lineRule="exact"/>
        <w:ind w:firstLine="600" w:firstLineChars="200"/>
        <w:jc w:val="both"/>
        <w:rPr>
          <w:rFonts w:ascii="仿宋" w:hAnsi="仿宋" w:eastAsia="仿宋" w:cs="宋体"/>
          <w:sz w:val="30"/>
          <w:szCs w:val="30"/>
        </w:rPr>
      </w:pPr>
      <w:r>
        <w:rPr>
          <w:rFonts w:hint="eastAsia" w:ascii="仿宋" w:hAnsi="仿宋" w:eastAsia="仿宋" w:cs="Times New Roman"/>
          <w:sz w:val="30"/>
          <w:szCs w:val="30"/>
        </w:rPr>
        <w:t>金融许可证机构编码：S0044H314080001</w:t>
      </w:r>
    </w:p>
    <w:p>
      <w:pPr>
        <w:adjustRightInd/>
        <w:snapToGrid/>
        <w:spacing w:after="0" w:line="600" w:lineRule="exact"/>
        <w:ind w:firstLine="600" w:firstLineChars="200"/>
        <w:jc w:val="both"/>
        <w:rPr>
          <w:rFonts w:ascii="仿宋" w:hAnsi="仿宋" w:eastAsia="仿宋" w:cs="宋体"/>
          <w:sz w:val="30"/>
          <w:szCs w:val="30"/>
        </w:rPr>
      </w:pPr>
      <w:r>
        <w:rPr>
          <w:rFonts w:hint="eastAsia" w:ascii="仿宋" w:hAnsi="仿宋" w:eastAsia="仿宋" w:cs="Times New Roman"/>
          <w:sz w:val="30"/>
          <w:szCs w:val="30"/>
        </w:rPr>
        <w:t>本行注册登记日期：2014年12月11日</w:t>
      </w:r>
    </w:p>
    <w:p>
      <w:pPr>
        <w:adjustRightInd/>
        <w:snapToGrid/>
        <w:spacing w:after="0" w:line="60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登记地点：国家金融监督管理总局运城监管分局</w:t>
      </w:r>
    </w:p>
    <w:p>
      <w:pPr>
        <w:adjustRightInd/>
        <w:snapToGrid/>
        <w:spacing w:after="0" w:line="600" w:lineRule="exact"/>
        <w:ind w:firstLine="600" w:firstLineChars="200"/>
        <w:jc w:val="both"/>
        <w:rPr>
          <w:rFonts w:ascii="仿宋" w:hAnsi="仿宋" w:eastAsia="仿宋" w:cs="宋体"/>
          <w:sz w:val="30"/>
          <w:szCs w:val="30"/>
        </w:rPr>
      </w:pPr>
      <w:r>
        <w:rPr>
          <w:rFonts w:hint="eastAsia" w:ascii="仿宋" w:hAnsi="仿宋" w:eastAsia="仿宋" w:cs="Times New Roman"/>
          <w:sz w:val="30"/>
          <w:szCs w:val="30"/>
        </w:rPr>
        <w:t>本行经济性质：股份有限公司</w:t>
      </w:r>
    </w:p>
    <w:p>
      <w:pPr>
        <w:adjustRightInd/>
        <w:snapToGrid/>
        <w:spacing w:after="0" w:line="600" w:lineRule="exact"/>
        <w:ind w:firstLine="600" w:firstLineChars="200"/>
        <w:jc w:val="both"/>
        <w:rPr>
          <w:rFonts w:ascii="仿宋" w:hAnsi="仿宋" w:eastAsia="仿宋" w:cs="宋体"/>
          <w:sz w:val="30"/>
          <w:szCs w:val="30"/>
        </w:rPr>
      </w:pPr>
      <w:r>
        <w:rPr>
          <w:rFonts w:hint="eastAsia" w:ascii="仿宋" w:hAnsi="仿宋" w:eastAsia="仿宋" w:cs="Times New Roman"/>
          <w:sz w:val="30"/>
          <w:szCs w:val="30"/>
        </w:rPr>
        <w:t>本行注册资金：人民币6000万元</w:t>
      </w:r>
    </w:p>
    <w:p>
      <w:pPr>
        <w:adjustRightInd/>
        <w:snapToGrid/>
        <w:spacing w:after="0" w:line="600" w:lineRule="exact"/>
        <w:ind w:firstLine="600" w:firstLineChars="200"/>
        <w:rPr>
          <w:rFonts w:ascii="仿宋" w:hAnsi="仿宋" w:eastAsia="仿宋" w:cs="宋体"/>
          <w:sz w:val="30"/>
          <w:szCs w:val="30"/>
        </w:rPr>
      </w:pPr>
      <w:r>
        <w:rPr>
          <w:rFonts w:hint="eastAsia" w:ascii="仿宋" w:hAnsi="仿宋" w:eastAsia="仿宋" w:cs="Times New Roman"/>
          <w:sz w:val="30"/>
          <w:szCs w:val="30"/>
        </w:rPr>
        <w:t>企业法人营业执照统一社会信用代码9114080031718491XY</w:t>
      </w:r>
    </w:p>
    <w:p>
      <w:pPr>
        <w:adjustRightInd/>
        <w:snapToGrid/>
        <w:spacing w:after="0" w:line="600" w:lineRule="exact"/>
        <w:ind w:firstLine="602" w:firstLineChars="200"/>
        <w:jc w:val="both"/>
        <w:rPr>
          <w:rFonts w:ascii="仿宋" w:hAnsi="仿宋" w:eastAsia="仿宋" w:cs="宋体"/>
          <w:sz w:val="30"/>
          <w:szCs w:val="30"/>
        </w:rPr>
      </w:pPr>
      <w:r>
        <w:rPr>
          <w:rFonts w:hint="eastAsia" w:ascii="仿宋" w:hAnsi="仿宋" w:eastAsia="仿宋" w:cs="Times New Roman"/>
          <w:b/>
          <w:bCs/>
          <w:sz w:val="30"/>
          <w:szCs w:val="30"/>
        </w:rPr>
        <w:t>六、本行经营范围：</w:t>
      </w:r>
      <w:bookmarkStart w:id="1" w:name="_Toc193883015"/>
      <w:r>
        <w:rPr>
          <w:rFonts w:hint="eastAsia" w:ascii="仿宋" w:hAnsi="仿宋" w:eastAsia="仿宋" w:cs="Times New Roman"/>
          <w:sz w:val="30"/>
          <w:szCs w:val="30"/>
        </w:rPr>
        <w:t>吸收公众存款；发放短期、中期和长期贷款；办理国内结算；办理票据承兑与贴现；从事同业拆借；代理发行、代理兑付、承销政府债券；从事银行卡（借记卡）业务；经银行业监督管理机构批准的其他业务。</w:t>
      </w:r>
      <w:bookmarkEnd w:id="1"/>
      <w:r>
        <w:rPr>
          <w:rFonts w:hint="eastAsia" w:ascii="仿宋" w:hAnsi="仿宋" w:eastAsia="仿宋" w:cs="Times New Roman"/>
          <w:sz w:val="30"/>
          <w:szCs w:val="30"/>
        </w:rPr>
        <w:t>（依法须经批准的项目，经相关部门批准后方可开展经营活动）</w:t>
      </w:r>
    </w:p>
    <w:p>
      <w:pPr>
        <w:pStyle w:val="2"/>
        <w:spacing w:before="0" w:beforeAutospacing="0" w:after="0" w:afterAutospacing="0" w:line="600" w:lineRule="exact"/>
        <w:ind w:firstLine="602" w:firstLineChars="200"/>
        <w:rPr>
          <w:rStyle w:val="14"/>
          <w:rFonts w:ascii="仿宋" w:hAnsi="仿宋" w:eastAsia="仿宋"/>
          <w:b/>
          <w:bCs/>
          <w:sz w:val="30"/>
          <w:szCs w:val="30"/>
        </w:rPr>
      </w:pPr>
      <w:bookmarkStart w:id="2" w:name="_Toc481079991"/>
    </w:p>
    <w:p>
      <w:pPr>
        <w:pStyle w:val="2"/>
        <w:spacing w:before="0" w:beforeAutospacing="0" w:after="0" w:afterAutospacing="0" w:line="600" w:lineRule="exact"/>
        <w:ind w:firstLine="602" w:firstLineChars="200"/>
        <w:jc w:val="center"/>
        <w:rPr>
          <w:rFonts w:ascii="仿宋" w:hAnsi="仿宋" w:eastAsia="仿宋"/>
          <w:sz w:val="30"/>
          <w:szCs w:val="30"/>
        </w:rPr>
      </w:pPr>
      <w:r>
        <w:rPr>
          <w:rStyle w:val="14"/>
          <w:rFonts w:hint="eastAsia" w:ascii="仿宋" w:hAnsi="仿宋" w:eastAsia="仿宋"/>
          <w:b/>
          <w:bCs/>
          <w:sz w:val="30"/>
          <w:szCs w:val="30"/>
        </w:rPr>
        <w:t>第二章　经营概况</w:t>
      </w:r>
      <w:bookmarkEnd w:id="2"/>
      <w:bookmarkStart w:id="3" w:name="_Toc227401501"/>
      <w:bookmarkEnd w:id="3"/>
      <w:bookmarkStart w:id="4" w:name="_Toc193883016"/>
      <w:bookmarkEnd w:id="4"/>
    </w:p>
    <w:p>
      <w:pPr>
        <w:pStyle w:val="10"/>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微软雅黑" w:eastAsia="仿宋"/>
          <w:sz w:val="30"/>
          <w:szCs w:val="30"/>
        </w:rPr>
        <w:t> </w:t>
      </w:r>
      <w:r>
        <w:rPr>
          <w:rFonts w:hint="eastAsia" w:ascii="仿宋" w:hAnsi="仿宋" w:eastAsia="仿宋" w:cs="Times New Roman"/>
          <w:sz w:val="30"/>
          <w:szCs w:val="30"/>
        </w:rPr>
        <w:t>截止2025年末，我行总资产为129197万元，比年初减少2.39%；负债总额为121602.64万元，比年初减少2.58%；所有者权益为7594.36万元，实现净利润33.65万元。资产利润率为0.03%，资本利润率为0.44%，累计提取贷款减值准备金2210万元，拨备覆盖率达到171.38%，拨贷比为3.43%，流动性比例为408.56%，资本充足率为13.24%，全年安全无事故，各项主要监管指标符合监管要求。</w:t>
      </w:r>
    </w:p>
    <w:p>
      <w:pPr>
        <w:pStyle w:val="3"/>
        <w:spacing w:line="600" w:lineRule="exact"/>
        <w:ind w:firstLine="602" w:firstLineChars="200"/>
        <w:jc w:val="both"/>
        <w:rPr>
          <w:rStyle w:val="14"/>
          <w:rFonts w:ascii="仿宋" w:hAnsi="仿宋" w:eastAsia="仿宋" w:cs="Arial"/>
          <w:b w:val="0"/>
          <w:bCs w:val="0"/>
        </w:rPr>
      </w:pPr>
      <w:r>
        <w:rPr>
          <w:rStyle w:val="14"/>
          <w:rFonts w:ascii="仿宋" w:hAnsi="仿宋" w:eastAsia="仿宋" w:cs="Arial"/>
          <w:b/>
          <w:bCs/>
          <w:sz w:val="30"/>
          <w:szCs w:val="30"/>
        </w:rPr>
        <w:t> </w:t>
      </w:r>
      <w:bookmarkStart w:id="5" w:name="_Toc481079992"/>
      <w:r>
        <w:rPr>
          <w:rStyle w:val="14"/>
          <w:rFonts w:hint="eastAsia" w:ascii="仿宋" w:hAnsi="仿宋" w:eastAsia="仿宋" w:cs="Arial"/>
          <w:b/>
          <w:bCs/>
          <w:sz w:val="30"/>
          <w:szCs w:val="30"/>
        </w:rPr>
        <w:t>一</w:t>
      </w:r>
      <w:bookmarkEnd w:id="5"/>
      <w:r>
        <w:rPr>
          <w:rStyle w:val="14"/>
          <w:rFonts w:hint="eastAsia" w:ascii="仿宋" w:hAnsi="仿宋" w:eastAsia="仿宋" w:cs="Arial"/>
          <w:b/>
          <w:bCs/>
          <w:sz w:val="30"/>
          <w:szCs w:val="30"/>
        </w:rPr>
        <w:t>、支农支小业务开展情况</w:t>
      </w:r>
    </w:p>
    <w:p>
      <w:pPr>
        <w:pStyle w:val="10"/>
        <w:spacing w:before="0" w:beforeAutospacing="0" w:after="0" w:afterAutospacing="0" w:line="600" w:lineRule="exact"/>
        <w:ind w:firstLine="420" w:firstLineChars="200"/>
        <w:jc w:val="center"/>
        <w:rPr>
          <w:rFonts w:ascii="微软雅黑" w:hAnsi="微软雅黑" w:eastAsia="微软雅黑"/>
          <w:sz w:val="15"/>
          <w:szCs w:val="15"/>
        </w:rPr>
      </w:pPr>
      <w:r>
        <w:rPr>
          <w:rFonts w:ascii="Times New Roman" w:hAnsi="Times New Roman" w:eastAsia="微软雅黑" w:cs="Times New Roman"/>
          <w:sz w:val="21"/>
          <w:szCs w:val="21"/>
        </w:rPr>
        <w:t>                              </w:t>
      </w:r>
      <w:r>
        <w:rPr>
          <w:rFonts w:hint="eastAsia" w:cs="Times New Roman"/>
          <w:spacing w:val="20"/>
        </w:rPr>
        <w:t>单位：人民币万元、户、%</w:t>
      </w:r>
    </w:p>
    <w:tbl>
      <w:tblPr>
        <w:tblStyle w:val="11"/>
        <w:tblW w:w="7818"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
      <w:tblGrid>
        <w:gridCol w:w="4127"/>
        <w:gridCol w:w="369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64" w:hRule="atLeast"/>
          <w:jc w:val="center"/>
        </w:trPr>
        <w:tc>
          <w:tcPr>
            <w:tcW w:w="4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项目</w:t>
            </w:r>
          </w:p>
        </w:tc>
        <w:tc>
          <w:tcPr>
            <w:tcW w:w="3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2025年度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64" w:hRule="atLeast"/>
          <w:jc w:val="center"/>
        </w:trPr>
        <w:tc>
          <w:tcPr>
            <w:tcW w:w="4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各项贷款余额</w:t>
            </w:r>
          </w:p>
        </w:tc>
        <w:tc>
          <w:tcPr>
            <w:tcW w:w="3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64466.36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75" w:hRule="atLeast"/>
          <w:jc w:val="center"/>
        </w:trPr>
        <w:tc>
          <w:tcPr>
            <w:tcW w:w="4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农户和小微贷款合计占比</w:t>
            </w:r>
          </w:p>
        </w:tc>
        <w:tc>
          <w:tcPr>
            <w:tcW w:w="3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rPr>
              <w:t>90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64" w:hRule="atLeast"/>
          <w:jc w:val="center"/>
        </w:trPr>
        <w:tc>
          <w:tcPr>
            <w:tcW w:w="41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累计发放农户和小微企业客户数</w:t>
            </w:r>
          </w:p>
        </w:tc>
        <w:tc>
          <w:tcPr>
            <w:tcW w:w="369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rPr>
              <w:t>9777</w:t>
            </w:r>
          </w:p>
        </w:tc>
      </w:tr>
    </w:tbl>
    <w:p>
      <w:pPr>
        <w:pStyle w:val="3"/>
        <w:spacing w:line="600" w:lineRule="exact"/>
        <w:ind w:firstLine="602" w:firstLineChars="200"/>
        <w:jc w:val="both"/>
        <w:rPr>
          <w:rFonts w:ascii="仿宋" w:hAnsi="仿宋" w:eastAsia="仿宋"/>
          <w:sz w:val="30"/>
          <w:szCs w:val="30"/>
        </w:rPr>
      </w:pPr>
      <w:bookmarkStart w:id="6" w:name="_Toc481079993"/>
      <w:r>
        <w:rPr>
          <w:rStyle w:val="14"/>
          <w:rFonts w:hint="eastAsia" w:ascii="仿宋" w:hAnsi="仿宋" w:eastAsia="仿宋" w:cs="Arial"/>
          <w:b/>
          <w:bCs/>
          <w:sz w:val="30"/>
          <w:szCs w:val="30"/>
        </w:rPr>
        <w:t>二、</w:t>
      </w:r>
      <w:bookmarkEnd w:id="6"/>
      <w:bookmarkStart w:id="7" w:name="_Toc193883020"/>
      <w:r>
        <w:rPr>
          <w:rStyle w:val="14"/>
          <w:rFonts w:hint="eastAsia" w:ascii="仿宋" w:hAnsi="仿宋" w:eastAsia="仿宋" w:cs="Arial"/>
          <w:b/>
          <w:bCs/>
          <w:sz w:val="30"/>
          <w:szCs w:val="30"/>
        </w:rPr>
        <w:t>截止报告期末主要合规性监管指标</w:t>
      </w:r>
      <w:bookmarkEnd w:id="7"/>
    </w:p>
    <w:tbl>
      <w:tblPr>
        <w:tblStyle w:val="11"/>
        <w:tblW w:w="7869"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
      <w:tblGrid>
        <w:gridCol w:w="4300"/>
        <w:gridCol w:w="1799"/>
        <w:gridCol w:w="1770"/>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jc w:val="center"/>
        </w:trPr>
        <w:tc>
          <w:tcPr>
            <w:tcW w:w="4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项目</w:t>
            </w:r>
          </w:p>
        </w:tc>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标准值</w:t>
            </w:r>
          </w:p>
        </w:tc>
        <w:tc>
          <w:tcPr>
            <w:tcW w:w="1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105" w:lineRule="atLeast"/>
              <w:jc w:val="center"/>
              <w:rPr>
                <w:rFonts w:ascii="仿宋" w:hAnsi="仿宋" w:eastAsia="仿宋"/>
              </w:rPr>
            </w:pPr>
            <w:r>
              <w:rPr>
                <w:rFonts w:hint="eastAsia" w:ascii="仿宋" w:hAnsi="仿宋" w:eastAsia="仿宋" w:cs="Times New Roman"/>
              </w:rPr>
              <w:t>2025年度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24" w:hRule="atLeast"/>
          <w:jc w:val="center"/>
        </w:trPr>
        <w:tc>
          <w:tcPr>
            <w:tcW w:w="4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资本充足率（%）</w:t>
            </w:r>
          </w:p>
        </w:tc>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≥10.5</w:t>
            </w:r>
          </w:p>
        </w:tc>
        <w:tc>
          <w:tcPr>
            <w:tcW w:w="1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13.24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171" w:hRule="atLeast"/>
          <w:jc w:val="center"/>
        </w:trPr>
        <w:tc>
          <w:tcPr>
            <w:tcW w:w="4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核心资本充足率（%）</w:t>
            </w:r>
          </w:p>
        </w:tc>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≥8.5</w:t>
            </w:r>
          </w:p>
        </w:tc>
        <w:tc>
          <w:tcPr>
            <w:tcW w:w="1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11.45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76" w:hRule="atLeast"/>
          <w:jc w:val="center"/>
        </w:trPr>
        <w:tc>
          <w:tcPr>
            <w:tcW w:w="4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流动性比率（%）</w:t>
            </w:r>
          </w:p>
        </w:tc>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≥25</w:t>
            </w:r>
          </w:p>
        </w:tc>
        <w:tc>
          <w:tcPr>
            <w:tcW w:w="1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408.56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60" w:hRule="atLeast"/>
          <w:jc w:val="center"/>
        </w:trPr>
        <w:tc>
          <w:tcPr>
            <w:tcW w:w="4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存贷比（%）</w:t>
            </w:r>
          </w:p>
        </w:tc>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≤75</w:t>
            </w:r>
          </w:p>
        </w:tc>
        <w:tc>
          <w:tcPr>
            <w:tcW w:w="1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 w:lineRule="atLeast"/>
              <w:jc w:val="center"/>
              <w:rPr>
                <w:rFonts w:ascii="仿宋" w:hAnsi="仿宋" w:eastAsia="仿宋"/>
              </w:rPr>
            </w:pPr>
            <w:r>
              <w:rPr>
                <w:rFonts w:hint="eastAsia" w:ascii="仿宋" w:hAnsi="仿宋" w:eastAsia="仿宋"/>
              </w:rPr>
              <w:t>55.59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199" w:hRule="atLeast"/>
          <w:jc w:val="center"/>
        </w:trPr>
        <w:tc>
          <w:tcPr>
            <w:tcW w:w="4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日均存贷比（%）</w:t>
            </w:r>
          </w:p>
        </w:tc>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≥50</w:t>
            </w:r>
          </w:p>
        </w:tc>
        <w:tc>
          <w:tcPr>
            <w:tcW w:w="1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54.07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jc w:val="center"/>
        </w:trPr>
        <w:tc>
          <w:tcPr>
            <w:tcW w:w="4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净拆借资金比例（%）</w:t>
            </w:r>
          </w:p>
        </w:tc>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≤-4</w:t>
            </w:r>
          </w:p>
        </w:tc>
        <w:tc>
          <w:tcPr>
            <w:tcW w:w="1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cs="Times New Roman"/>
              </w:rPr>
              <w:t>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68" w:hRule="atLeast"/>
          <w:jc w:val="center"/>
        </w:trPr>
        <w:tc>
          <w:tcPr>
            <w:tcW w:w="4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不良贷款比例（%）</w:t>
            </w:r>
          </w:p>
        </w:tc>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≤5</w:t>
            </w:r>
          </w:p>
        </w:tc>
        <w:tc>
          <w:tcPr>
            <w:tcW w:w="1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28" w:hRule="atLeast"/>
          <w:jc w:val="center"/>
        </w:trPr>
        <w:tc>
          <w:tcPr>
            <w:tcW w:w="4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贷款拨备率（%）</w:t>
            </w:r>
          </w:p>
        </w:tc>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≥2.5</w:t>
            </w:r>
          </w:p>
        </w:tc>
        <w:tc>
          <w:tcPr>
            <w:tcW w:w="1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3.43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131" w:hRule="atLeast"/>
          <w:jc w:val="center"/>
        </w:trPr>
        <w:tc>
          <w:tcPr>
            <w:tcW w:w="4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拨备覆盖率（%）</w:t>
            </w:r>
          </w:p>
        </w:tc>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≥150</w:t>
            </w:r>
          </w:p>
        </w:tc>
        <w:tc>
          <w:tcPr>
            <w:tcW w:w="1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171.38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73" w:hRule="atLeast"/>
          <w:jc w:val="center"/>
        </w:trPr>
        <w:tc>
          <w:tcPr>
            <w:tcW w:w="4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资本利润率</w:t>
            </w:r>
          </w:p>
        </w:tc>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≥11</w:t>
            </w:r>
          </w:p>
        </w:tc>
        <w:tc>
          <w:tcPr>
            <w:tcW w:w="1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0.44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34" w:hRule="atLeast"/>
          <w:jc w:val="center"/>
        </w:trPr>
        <w:tc>
          <w:tcPr>
            <w:tcW w:w="4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资产利润率</w:t>
            </w:r>
          </w:p>
        </w:tc>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≥0.6</w:t>
            </w:r>
          </w:p>
        </w:tc>
        <w:tc>
          <w:tcPr>
            <w:tcW w:w="1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0.03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339" w:hRule="atLeast"/>
          <w:jc w:val="center"/>
        </w:trPr>
        <w:tc>
          <w:tcPr>
            <w:tcW w:w="4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成本收入比</w:t>
            </w:r>
          </w:p>
        </w:tc>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≤35</w:t>
            </w:r>
          </w:p>
        </w:tc>
        <w:tc>
          <w:tcPr>
            <w:tcW w:w="1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88.23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72" w:hRule="atLeast"/>
          <w:jc w:val="center"/>
        </w:trPr>
        <w:tc>
          <w:tcPr>
            <w:tcW w:w="4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流动性缺口率</w:t>
            </w:r>
          </w:p>
        </w:tc>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≥-10</w:t>
            </w:r>
          </w:p>
        </w:tc>
        <w:tc>
          <w:tcPr>
            <w:tcW w:w="1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62.83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34" w:hRule="atLeast"/>
          <w:jc w:val="center"/>
        </w:trPr>
        <w:tc>
          <w:tcPr>
            <w:tcW w:w="4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最大单一客户贷款比例（%）</w:t>
            </w:r>
          </w:p>
        </w:tc>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≤10</w:t>
            </w:r>
          </w:p>
        </w:tc>
        <w:tc>
          <w:tcPr>
            <w:tcW w:w="1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color w:val="000000" w:themeColor="text1"/>
              </w:rPr>
            </w:pPr>
            <w:r>
              <w:rPr>
                <w:rFonts w:hint="eastAsia" w:ascii="仿宋" w:hAnsi="仿宋" w:eastAsia="仿宋"/>
                <w:color w:val="000000" w:themeColor="text1"/>
              </w:rPr>
              <w:t>5.7</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195" w:hRule="atLeast"/>
          <w:jc w:val="center"/>
        </w:trPr>
        <w:tc>
          <w:tcPr>
            <w:tcW w:w="4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单一集团客户授信集中度（%）</w:t>
            </w:r>
          </w:p>
        </w:tc>
        <w:tc>
          <w:tcPr>
            <w:tcW w:w="1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≤15</w:t>
            </w:r>
          </w:p>
        </w:tc>
        <w:tc>
          <w:tcPr>
            <w:tcW w:w="17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0</w:t>
            </w:r>
          </w:p>
        </w:tc>
      </w:tr>
    </w:tbl>
    <w:p>
      <w:pPr>
        <w:pStyle w:val="3"/>
        <w:spacing w:line="600" w:lineRule="exact"/>
        <w:ind w:firstLine="602" w:firstLineChars="200"/>
        <w:jc w:val="both"/>
        <w:rPr>
          <w:rFonts w:ascii="仿宋" w:hAnsi="仿宋" w:eastAsia="仿宋"/>
          <w:sz w:val="30"/>
          <w:szCs w:val="30"/>
          <w:highlight w:val="yellow"/>
        </w:rPr>
      </w:pPr>
      <w:bookmarkStart w:id="8" w:name="_Toc481079994"/>
      <w:r>
        <w:rPr>
          <w:rStyle w:val="14"/>
          <w:rFonts w:hint="eastAsia" w:ascii="仿宋" w:hAnsi="仿宋" w:eastAsia="仿宋" w:cs="Arial"/>
          <w:b/>
          <w:bCs/>
          <w:sz w:val="30"/>
          <w:szCs w:val="30"/>
        </w:rPr>
        <w:t>三、应交纳保费金额统计表</w:t>
      </w:r>
      <w:bookmarkEnd w:id="8"/>
    </w:p>
    <w:p>
      <w:pPr>
        <w:pStyle w:val="10"/>
        <w:spacing w:before="0" w:beforeAutospacing="0" w:after="0" w:afterAutospacing="0" w:line="600" w:lineRule="exact"/>
        <w:ind w:firstLine="560" w:firstLineChars="200"/>
        <w:jc w:val="right"/>
        <w:rPr>
          <w:rFonts w:ascii="仿宋" w:hAnsi="仿宋" w:eastAsia="仿宋"/>
        </w:rPr>
      </w:pPr>
      <w:r>
        <w:rPr>
          <w:rFonts w:hint="eastAsia" w:ascii="仿宋" w:hAnsi="仿宋" w:eastAsia="仿宋" w:cs="Times New Roman"/>
          <w:spacing w:val="20"/>
        </w:rPr>
        <w:t>单位：万元</w:t>
      </w:r>
    </w:p>
    <w:tbl>
      <w:tblPr>
        <w:tblStyle w:val="11"/>
        <w:tblW w:w="8121"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
      <w:tblGrid>
        <w:gridCol w:w="799"/>
        <w:gridCol w:w="2670"/>
        <w:gridCol w:w="2143"/>
        <w:gridCol w:w="2509"/>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44" w:hRule="atLeast"/>
          <w:jc w:val="center"/>
        </w:trPr>
        <w:tc>
          <w:tcPr>
            <w:tcW w:w="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rPr>
            </w:pPr>
            <w:r>
              <w:rPr>
                <w:rFonts w:hint="eastAsia" w:ascii="仿宋" w:hAnsi="仿宋" w:eastAsia="仿宋" w:cs="Times New Roman"/>
              </w:rPr>
              <w:t>序号</w:t>
            </w:r>
          </w:p>
        </w:tc>
        <w:tc>
          <w:tcPr>
            <w:tcW w:w="2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缴费时间</w:t>
            </w:r>
          </w:p>
        </w:tc>
        <w:tc>
          <w:tcPr>
            <w:tcW w:w="21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本期保费基数</w:t>
            </w:r>
          </w:p>
        </w:tc>
        <w:tc>
          <w:tcPr>
            <w:tcW w:w="25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本期应交纳保费数额</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79" w:hRule="atLeast"/>
          <w:jc w:val="center"/>
        </w:trPr>
        <w:tc>
          <w:tcPr>
            <w:tcW w:w="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1</w:t>
            </w:r>
          </w:p>
        </w:tc>
        <w:tc>
          <w:tcPr>
            <w:tcW w:w="2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rPr>
                <w:rFonts w:ascii="仿宋" w:hAnsi="仿宋" w:eastAsia="仿宋"/>
              </w:rPr>
            </w:pPr>
            <w:r>
              <w:rPr>
                <w:rFonts w:hint="eastAsia" w:ascii="仿宋" w:hAnsi="仿宋" w:eastAsia="仿宋" w:cs="Times New Roman"/>
              </w:rPr>
              <w:t>2025年1月-6月</w:t>
            </w:r>
          </w:p>
        </w:tc>
        <w:tc>
          <w:tcPr>
            <w:tcW w:w="21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cs="Times New Roman"/>
              </w:rPr>
            </w:pPr>
            <w:r>
              <w:rPr>
                <w:rFonts w:hint="eastAsia" w:ascii="仿宋" w:hAnsi="仿宋" w:eastAsia="仿宋" w:cs="Times New Roman"/>
              </w:rPr>
              <w:t>119696.08</w:t>
            </w:r>
          </w:p>
        </w:tc>
        <w:tc>
          <w:tcPr>
            <w:tcW w:w="25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cs="Times New Roman"/>
              </w:rPr>
            </w:pPr>
            <w:r>
              <w:rPr>
                <w:rFonts w:hint="eastAsia" w:ascii="仿宋" w:hAnsi="仿宋" w:eastAsia="仿宋" w:cs="Times New Roman"/>
              </w:rPr>
              <w:t>20.95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39" w:hRule="atLeast"/>
          <w:jc w:val="center"/>
        </w:trPr>
        <w:tc>
          <w:tcPr>
            <w:tcW w:w="79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2</w:t>
            </w:r>
          </w:p>
        </w:tc>
        <w:tc>
          <w:tcPr>
            <w:tcW w:w="267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2025年7月-12月</w:t>
            </w:r>
          </w:p>
        </w:tc>
        <w:tc>
          <w:tcPr>
            <w:tcW w:w="214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124683.17</w:t>
            </w:r>
          </w:p>
        </w:tc>
        <w:tc>
          <w:tcPr>
            <w:tcW w:w="25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21.82</w:t>
            </w:r>
          </w:p>
        </w:tc>
      </w:tr>
    </w:tbl>
    <w:p>
      <w:pPr>
        <w:pStyle w:val="10"/>
        <w:spacing w:before="0" w:beforeAutospacing="0" w:after="0" w:afterAutospacing="0" w:line="600" w:lineRule="exact"/>
        <w:ind w:firstLine="300" w:firstLineChars="200"/>
        <w:jc w:val="both"/>
        <w:rPr>
          <w:rFonts w:ascii="微软雅黑" w:hAnsi="微软雅黑" w:eastAsia="微软雅黑"/>
          <w:sz w:val="15"/>
          <w:szCs w:val="15"/>
        </w:rPr>
      </w:pPr>
      <w:r>
        <w:rPr>
          <w:rFonts w:hint="eastAsia" w:ascii="微软雅黑" w:hAnsi="微软雅黑" w:eastAsia="微软雅黑"/>
          <w:sz w:val="15"/>
          <w:szCs w:val="15"/>
        </w:rPr>
        <w:t> </w:t>
      </w:r>
      <w:bookmarkStart w:id="9" w:name="_Toc481079995"/>
    </w:p>
    <w:p>
      <w:pPr>
        <w:pStyle w:val="10"/>
        <w:spacing w:before="0" w:beforeAutospacing="0" w:after="0" w:afterAutospacing="0" w:line="600" w:lineRule="exact"/>
        <w:ind w:firstLine="600" w:firstLineChars="200"/>
        <w:jc w:val="both"/>
        <w:rPr>
          <w:rStyle w:val="14"/>
          <w:b w:val="0"/>
          <w:bCs w:val="0"/>
          <w:sz w:val="30"/>
          <w:szCs w:val="30"/>
        </w:rPr>
      </w:pPr>
    </w:p>
    <w:p>
      <w:pPr>
        <w:adjustRightInd/>
        <w:snapToGrid/>
        <w:spacing w:after="0" w:line="600" w:lineRule="exact"/>
        <w:ind w:firstLine="602" w:firstLineChars="200"/>
        <w:jc w:val="center"/>
        <w:outlineLvl w:val="0"/>
        <w:rPr>
          <w:rFonts w:ascii="仿宋" w:hAnsi="仿宋" w:eastAsia="仿宋" w:cs="宋体"/>
          <w:b/>
          <w:bCs/>
          <w:kern w:val="36"/>
          <w:sz w:val="30"/>
          <w:szCs w:val="30"/>
        </w:rPr>
      </w:pPr>
      <w:r>
        <w:rPr>
          <w:rFonts w:hint="eastAsia" w:ascii="仿宋" w:hAnsi="仿宋" w:eastAsia="仿宋" w:cs="宋体"/>
          <w:b/>
          <w:kern w:val="36"/>
          <w:sz w:val="30"/>
          <w:szCs w:val="30"/>
        </w:rPr>
        <w:t>第三章　财务会计报告</w:t>
      </w:r>
      <w:bookmarkEnd w:id="9"/>
    </w:p>
    <w:p>
      <w:pPr>
        <w:pStyle w:val="3"/>
        <w:spacing w:before="0" w:after="0" w:line="600" w:lineRule="exact"/>
        <w:ind w:firstLine="602" w:firstLineChars="200"/>
        <w:jc w:val="both"/>
        <w:rPr>
          <w:rFonts w:ascii="仿宋" w:hAnsi="仿宋" w:eastAsia="仿宋"/>
          <w:sz w:val="30"/>
          <w:szCs w:val="30"/>
          <w:highlight w:val="yellow"/>
        </w:rPr>
      </w:pPr>
      <w:r>
        <w:rPr>
          <w:rStyle w:val="14"/>
          <w:rFonts w:ascii="Arial" w:hAnsi="Arial" w:eastAsia="仿宋" w:cs="Arial"/>
          <w:b/>
          <w:bCs/>
          <w:sz w:val="30"/>
          <w:szCs w:val="30"/>
        </w:rPr>
        <w:t>   </w:t>
      </w:r>
      <w:r>
        <w:rPr>
          <w:rStyle w:val="20"/>
          <w:rFonts w:ascii="Arial" w:hAnsi="Arial" w:eastAsia="仿宋" w:cs="Arial"/>
          <w:sz w:val="30"/>
          <w:szCs w:val="30"/>
        </w:rPr>
        <w:t> </w:t>
      </w:r>
      <w:bookmarkStart w:id="10" w:name="_Toc481079996"/>
      <w:r>
        <w:rPr>
          <w:rStyle w:val="14"/>
          <w:rFonts w:hint="eastAsia" w:ascii="仿宋" w:hAnsi="仿宋" w:eastAsia="仿宋" w:cs="Arial"/>
          <w:b/>
          <w:bCs/>
          <w:sz w:val="30"/>
          <w:szCs w:val="30"/>
        </w:rPr>
        <w:t>一、</w:t>
      </w:r>
      <w:bookmarkEnd w:id="10"/>
      <w:r>
        <w:rPr>
          <w:rStyle w:val="14"/>
          <w:rFonts w:hint="eastAsia" w:ascii="仿宋" w:hAnsi="仿宋" w:eastAsia="仿宋" w:cs="Arial"/>
          <w:b/>
          <w:bCs/>
          <w:sz w:val="30"/>
          <w:szCs w:val="30"/>
        </w:rPr>
        <w:t>会计报表</w:t>
      </w:r>
    </w:p>
    <w:p>
      <w:pPr>
        <w:pStyle w:val="10"/>
        <w:spacing w:before="0" w:beforeAutospacing="0" w:after="0" w:afterAutospacing="0" w:line="600" w:lineRule="exact"/>
        <w:ind w:firstLine="600" w:firstLineChars="200"/>
        <w:jc w:val="both"/>
        <w:rPr>
          <w:rFonts w:ascii="仿宋" w:hAnsi="仿宋" w:eastAsia="仿宋"/>
          <w:sz w:val="30"/>
          <w:szCs w:val="30"/>
        </w:rPr>
      </w:pPr>
      <w:bookmarkStart w:id="11" w:name="_Toc481079997"/>
      <w:r>
        <w:rPr>
          <w:rFonts w:hint="eastAsia" w:ascii="仿宋" w:hAnsi="仿宋" w:eastAsia="仿宋" w:cs="Times New Roman"/>
          <w:sz w:val="30"/>
          <w:szCs w:val="30"/>
        </w:rPr>
        <w:t>（一）资产负债表</w:t>
      </w:r>
      <w:bookmarkEnd w:id="11"/>
    </w:p>
    <w:p>
      <w:pPr>
        <w:pStyle w:val="10"/>
        <w:spacing w:before="0" w:beforeAutospacing="0" w:after="0" w:afterAutospacing="0" w:line="600" w:lineRule="exact"/>
        <w:ind w:firstLine="602" w:firstLineChars="200"/>
        <w:jc w:val="center"/>
        <w:rPr>
          <w:rStyle w:val="14"/>
          <w:rFonts w:ascii="仿宋" w:hAnsi="仿宋" w:eastAsia="仿宋" w:cs="Times New Roman"/>
          <w:sz w:val="30"/>
          <w:szCs w:val="30"/>
        </w:rPr>
      </w:pPr>
      <w:r>
        <w:rPr>
          <w:rStyle w:val="14"/>
          <w:rFonts w:hint="eastAsia" w:ascii="仿宋" w:hAnsi="仿宋" w:eastAsia="仿宋" w:cs="Times New Roman"/>
          <w:sz w:val="30"/>
          <w:szCs w:val="30"/>
        </w:rPr>
        <w:t>临猗新田村镇银行资产负债表</w:t>
      </w:r>
    </w:p>
    <w:p>
      <w:pPr>
        <w:pStyle w:val="10"/>
        <w:spacing w:before="0" w:beforeAutospacing="0" w:after="0" w:afterAutospacing="0" w:line="600" w:lineRule="exact"/>
        <w:ind w:right="-341" w:rightChars="-155"/>
        <w:rPr>
          <w:rFonts w:ascii="仿宋" w:hAnsi="仿宋" w:eastAsia="仿宋" w:cs="Times New Roman"/>
        </w:rPr>
      </w:pPr>
      <w:r>
        <w:rPr>
          <w:rFonts w:hint="eastAsia" w:ascii="仿宋" w:hAnsi="仿宋" w:eastAsia="仿宋" w:cs="Times New Roman"/>
        </w:rPr>
        <w:t>编制单位：临猗新田村镇银行日期：2025年12月31日       单位：元</w:t>
      </w:r>
    </w:p>
    <w:tbl>
      <w:tblPr>
        <w:tblStyle w:val="11"/>
        <w:tblW w:w="9513" w:type="dxa"/>
        <w:tblInd w:w="93" w:type="dxa"/>
        <w:tblLayout w:type="fixed"/>
        <w:tblCellMar>
          <w:top w:w="0" w:type="dxa"/>
          <w:left w:w="108" w:type="dxa"/>
          <w:bottom w:w="0" w:type="dxa"/>
          <w:right w:w="108" w:type="dxa"/>
        </w:tblCellMar>
      </w:tblPr>
      <w:tblGrid>
        <w:gridCol w:w="1291"/>
        <w:gridCol w:w="1843"/>
        <w:gridCol w:w="1559"/>
        <w:gridCol w:w="1276"/>
        <w:gridCol w:w="1701"/>
        <w:gridCol w:w="1843"/>
      </w:tblGrid>
      <w:tr>
        <w:tblPrEx>
          <w:tblLayout w:type="fixed"/>
          <w:tblCellMar>
            <w:top w:w="0" w:type="dxa"/>
            <w:left w:w="108" w:type="dxa"/>
            <w:bottom w:w="0" w:type="dxa"/>
            <w:right w:w="108" w:type="dxa"/>
          </w:tblCellMar>
        </w:tblPrEx>
        <w:trPr>
          <w:trHeight w:val="525" w:hRule="atLeast"/>
        </w:trPr>
        <w:tc>
          <w:tcPr>
            <w:tcW w:w="129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资产</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期初数</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期末数</w:t>
            </w:r>
          </w:p>
        </w:tc>
        <w:tc>
          <w:tcPr>
            <w:tcW w:w="1276"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负债及所有者权益合计</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期初数</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期末数</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现金及存放中央银行款项</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155540996.93</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156811355.48</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向中央银行借款</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存放同业款项</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557353530.45</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506956535.45</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同业及其他金融机构存放款项</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贵金属</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拆入资金</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拆出资金</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交易性金融负债</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衍生金融资产</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宋体" w:hAnsi="宋体" w:eastAsia="宋体" w:cs="Arial"/>
                <w:color w:val="000000"/>
                <w:sz w:val="20"/>
                <w:szCs w:val="20"/>
              </w:rPr>
            </w:pPr>
            <w:r>
              <w:rPr>
                <w:rFonts w:hint="eastAsia" w:ascii="宋体" w:hAnsi="宋体" w:eastAsia="宋体" w:cs="Arial"/>
                <w:color w:val="000000"/>
                <w:sz w:val="20"/>
                <w:szCs w:val="20"/>
              </w:rPr>
              <w:t>以公允价值计量且其变动</w:t>
            </w:r>
            <w:r>
              <w:rPr>
                <w:rFonts w:hint="eastAsia" w:ascii="宋体" w:hAnsi="宋体" w:eastAsia="宋体" w:cs="Arial"/>
                <w:color w:val="000000"/>
                <w:sz w:val="20"/>
                <w:szCs w:val="20"/>
              </w:rPr>
              <w:br w:type="textWrapping"/>
            </w:r>
            <w:r>
              <w:rPr>
                <w:rFonts w:hint="eastAsia" w:ascii="宋体" w:hAnsi="宋体" w:eastAsia="宋体" w:cs="Arial"/>
                <w:color w:val="000000"/>
                <w:sz w:val="20"/>
                <w:szCs w:val="20"/>
              </w:rPr>
              <w:t>计入当期损益的金融负债</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买入返售金融资产</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衍生金融负债</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应收利息</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513537.80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63211.41</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卖出回购金融资产款</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持有待售资产</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吸收存款</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1188831333.89</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1159637795.57</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发放贷款和垫款</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602622086.66</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622563584.27</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应付职工薪酬</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2478468.04</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2884608.13</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以公允价值计量且其变动</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应交税费</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367803.92</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334999.59</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可供出售金融资产</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应付利息</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44849395.19</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45895631.97</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持有至到期投资</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持有待售负债</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应收款项投资</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预计负债</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金融投资：</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应付债券</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交易性金融资产</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其中：优先股</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债权投资</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永续债</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其他债权投资</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递延所得税负债</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其他权益工具投资</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其他负债</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11650803.91</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7273379.64</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长期股权投资</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负债合计</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1248177804.95</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1216026414.90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投资性房地产</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所有者权益（或股东权益）：</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固定资产</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669448.23</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479699.79</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实收资本（或股本）</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60000000.00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60000000.00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在建工程</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其他权益工具</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无形资产</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其中：优先股</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商誉</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永续债</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递延所得税资产</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资本公积</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其他资产</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9551898.43</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7763783.53</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减：库存股</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存放同业减值准备</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-2668122.59</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-2668122.59</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其他综合收益</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同业借出款</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盈余公积</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3057063.80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3090718.76</w:t>
            </w:r>
          </w:p>
        </w:tc>
      </w:tr>
      <w:tr>
        <w:tblPrEx>
          <w:tblLayout w:type="fixed"/>
          <w:tblCellMar>
            <w:top w:w="0" w:type="dxa"/>
            <w:left w:w="108" w:type="dxa"/>
            <w:bottom w:w="0" w:type="dxa"/>
            <w:right w:w="108" w:type="dxa"/>
          </w:tblCellMar>
        </w:tblPrEx>
        <w:trPr>
          <w:trHeight w:val="525" w:hRule="atLeast"/>
        </w:trPr>
        <w:tc>
          <w:tcPr>
            <w:tcW w:w="129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存放系统内款项</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559"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0.00</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一般风险准备</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3702663.80</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3736318.76</w:t>
            </w:r>
          </w:p>
        </w:tc>
      </w:tr>
      <w:tr>
        <w:tblPrEx>
          <w:tblLayout w:type="fixed"/>
          <w:tblCellMar>
            <w:top w:w="0" w:type="dxa"/>
            <w:left w:w="108" w:type="dxa"/>
            <w:bottom w:w="0" w:type="dxa"/>
            <w:right w:w="108" w:type="dxa"/>
          </w:tblCellMar>
        </w:tblPrEx>
        <w:trPr>
          <w:trHeight w:val="525" w:hRule="atLeast"/>
        </w:trPr>
        <w:tc>
          <w:tcPr>
            <w:tcW w:w="1291" w:type="dxa"/>
            <w:vMerge w:val="restart"/>
            <w:tcBorders>
              <w:top w:val="nil"/>
              <w:left w:val="single" w:color="auto" w:sz="4" w:space="0"/>
              <w:bottom w:val="single" w:color="000000"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资产合计</w:t>
            </w:r>
          </w:p>
        </w:tc>
        <w:tc>
          <w:tcPr>
            <w:tcW w:w="1843" w:type="dxa"/>
            <w:vMerge w:val="restart"/>
            <w:tcBorders>
              <w:top w:val="nil"/>
              <w:left w:val="single" w:color="auto" w:sz="4" w:space="0"/>
              <w:bottom w:val="single" w:color="000000"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1323583375.91</w:t>
            </w:r>
          </w:p>
        </w:tc>
        <w:tc>
          <w:tcPr>
            <w:tcW w:w="1559" w:type="dxa"/>
            <w:vMerge w:val="restart"/>
            <w:tcBorders>
              <w:top w:val="nil"/>
              <w:left w:val="single" w:color="auto" w:sz="4" w:space="0"/>
              <w:bottom w:val="single" w:color="000000"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1291970047.34</w:t>
            </w: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未分配利润</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8645843.36</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9116594.92</w:t>
            </w:r>
          </w:p>
        </w:tc>
      </w:tr>
      <w:tr>
        <w:tblPrEx>
          <w:tblLayout w:type="fixed"/>
          <w:tblCellMar>
            <w:top w:w="0" w:type="dxa"/>
            <w:left w:w="108" w:type="dxa"/>
            <w:bottom w:w="0" w:type="dxa"/>
            <w:right w:w="108" w:type="dxa"/>
          </w:tblCellMar>
        </w:tblPrEx>
        <w:trPr>
          <w:trHeight w:val="525" w:hRule="atLeast"/>
        </w:trPr>
        <w:tc>
          <w:tcPr>
            <w:tcW w:w="1291" w:type="dxa"/>
            <w:vMerge w:val="continue"/>
            <w:tcBorders>
              <w:top w:val="nil"/>
              <w:left w:val="single" w:color="auto" w:sz="4" w:space="0"/>
              <w:bottom w:val="single" w:color="000000" w:sz="4" w:space="0"/>
              <w:right w:val="single" w:color="auto" w:sz="4" w:space="0"/>
            </w:tcBorders>
            <w:vAlign w:val="center"/>
          </w:tcPr>
          <w:p>
            <w:pPr>
              <w:adjustRightInd/>
              <w:snapToGrid/>
              <w:spacing w:after="0"/>
              <w:jc w:val="center"/>
              <w:rPr>
                <w:rFonts w:ascii="Arial" w:hAnsi="Arial" w:eastAsia="宋体" w:cs="Arial"/>
                <w:color w:val="000000"/>
                <w:sz w:val="20"/>
                <w:szCs w:val="20"/>
              </w:rPr>
            </w:pPr>
          </w:p>
        </w:tc>
        <w:tc>
          <w:tcPr>
            <w:tcW w:w="1843" w:type="dxa"/>
            <w:vMerge w:val="continue"/>
            <w:tcBorders>
              <w:top w:val="nil"/>
              <w:left w:val="single" w:color="auto" w:sz="4" w:space="0"/>
              <w:bottom w:val="single" w:color="000000" w:sz="4" w:space="0"/>
              <w:right w:val="single" w:color="auto" w:sz="4" w:space="0"/>
            </w:tcBorders>
            <w:vAlign w:val="center"/>
          </w:tcPr>
          <w:p>
            <w:pPr>
              <w:adjustRightInd/>
              <w:snapToGrid/>
              <w:spacing w:after="0"/>
              <w:jc w:val="center"/>
              <w:rPr>
                <w:rFonts w:ascii="Arial" w:hAnsi="Arial" w:eastAsia="宋体" w:cs="Arial"/>
                <w:color w:val="000000"/>
                <w:sz w:val="20"/>
                <w:szCs w:val="20"/>
              </w:rPr>
            </w:pPr>
          </w:p>
        </w:tc>
        <w:tc>
          <w:tcPr>
            <w:tcW w:w="1559" w:type="dxa"/>
            <w:vMerge w:val="continue"/>
            <w:tcBorders>
              <w:top w:val="nil"/>
              <w:left w:val="single" w:color="auto" w:sz="4" w:space="0"/>
              <w:bottom w:val="single" w:color="000000" w:sz="4" w:space="0"/>
              <w:right w:val="single" w:color="auto" w:sz="4" w:space="0"/>
            </w:tcBorders>
            <w:vAlign w:val="center"/>
          </w:tcPr>
          <w:p>
            <w:pPr>
              <w:adjustRightInd/>
              <w:snapToGrid/>
              <w:spacing w:after="0"/>
              <w:jc w:val="center"/>
              <w:rPr>
                <w:rFonts w:ascii="Arial" w:hAnsi="Arial" w:eastAsia="宋体" w:cs="Arial"/>
                <w:color w:val="000000"/>
                <w:sz w:val="20"/>
                <w:szCs w:val="20"/>
              </w:rPr>
            </w:pP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股东权益合计</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75405570.96</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75943632.44</w:t>
            </w:r>
          </w:p>
        </w:tc>
      </w:tr>
      <w:tr>
        <w:tblPrEx>
          <w:tblLayout w:type="fixed"/>
          <w:tblCellMar>
            <w:top w:w="0" w:type="dxa"/>
            <w:left w:w="108" w:type="dxa"/>
            <w:bottom w:w="0" w:type="dxa"/>
            <w:right w:w="108" w:type="dxa"/>
          </w:tblCellMar>
        </w:tblPrEx>
        <w:trPr>
          <w:trHeight w:val="525" w:hRule="atLeast"/>
        </w:trPr>
        <w:tc>
          <w:tcPr>
            <w:tcW w:w="1291" w:type="dxa"/>
            <w:vMerge w:val="continue"/>
            <w:tcBorders>
              <w:top w:val="nil"/>
              <w:left w:val="single" w:color="auto" w:sz="4" w:space="0"/>
              <w:bottom w:val="single" w:color="000000" w:sz="4" w:space="0"/>
              <w:right w:val="single" w:color="auto" w:sz="4" w:space="0"/>
            </w:tcBorders>
            <w:vAlign w:val="center"/>
          </w:tcPr>
          <w:p>
            <w:pPr>
              <w:adjustRightInd/>
              <w:snapToGrid/>
              <w:spacing w:after="0"/>
              <w:jc w:val="center"/>
              <w:rPr>
                <w:rFonts w:ascii="Arial" w:hAnsi="Arial" w:eastAsia="宋体" w:cs="Arial"/>
                <w:color w:val="000000"/>
                <w:sz w:val="20"/>
                <w:szCs w:val="20"/>
              </w:rPr>
            </w:pPr>
          </w:p>
        </w:tc>
        <w:tc>
          <w:tcPr>
            <w:tcW w:w="1843" w:type="dxa"/>
            <w:vMerge w:val="continue"/>
            <w:tcBorders>
              <w:top w:val="nil"/>
              <w:left w:val="single" w:color="auto" w:sz="4" w:space="0"/>
              <w:bottom w:val="single" w:color="000000" w:sz="4" w:space="0"/>
              <w:right w:val="single" w:color="auto" w:sz="4" w:space="0"/>
            </w:tcBorders>
            <w:vAlign w:val="center"/>
          </w:tcPr>
          <w:p>
            <w:pPr>
              <w:adjustRightInd/>
              <w:snapToGrid/>
              <w:spacing w:after="0"/>
              <w:jc w:val="center"/>
              <w:rPr>
                <w:rFonts w:ascii="Arial" w:hAnsi="Arial" w:eastAsia="宋体" w:cs="Arial"/>
                <w:color w:val="000000"/>
                <w:sz w:val="20"/>
                <w:szCs w:val="20"/>
              </w:rPr>
            </w:pPr>
          </w:p>
        </w:tc>
        <w:tc>
          <w:tcPr>
            <w:tcW w:w="1559" w:type="dxa"/>
            <w:vMerge w:val="continue"/>
            <w:tcBorders>
              <w:top w:val="nil"/>
              <w:left w:val="single" w:color="auto" w:sz="4" w:space="0"/>
              <w:bottom w:val="single" w:color="000000" w:sz="4" w:space="0"/>
              <w:right w:val="single" w:color="auto" w:sz="4" w:space="0"/>
            </w:tcBorders>
            <w:vAlign w:val="center"/>
          </w:tcPr>
          <w:p>
            <w:pPr>
              <w:adjustRightInd/>
              <w:snapToGrid/>
              <w:spacing w:after="0"/>
              <w:jc w:val="center"/>
              <w:rPr>
                <w:rFonts w:ascii="Arial" w:hAnsi="Arial" w:eastAsia="宋体" w:cs="Arial"/>
                <w:color w:val="000000"/>
                <w:sz w:val="20"/>
                <w:szCs w:val="20"/>
              </w:rPr>
            </w:pPr>
          </w:p>
        </w:tc>
        <w:tc>
          <w:tcPr>
            <w:tcW w:w="1276"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负债和所有者权益合计</w:t>
            </w:r>
          </w:p>
        </w:tc>
        <w:tc>
          <w:tcPr>
            <w:tcW w:w="1701"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1323583375.91</w:t>
            </w:r>
          </w:p>
        </w:tc>
        <w:tc>
          <w:tcPr>
            <w:tcW w:w="1843"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1291970047.34</w:t>
            </w:r>
          </w:p>
        </w:tc>
      </w:tr>
    </w:tbl>
    <w:p>
      <w:pPr>
        <w:pStyle w:val="10"/>
        <w:spacing w:before="0" w:beforeAutospacing="0" w:after="0" w:afterAutospacing="0" w:line="600" w:lineRule="exact"/>
        <w:ind w:right="-341" w:rightChars="-155"/>
        <w:rPr>
          <w:rFonts w:ascii="仿宋" w:hAnsi="仿宋" w:eastAsia="仿宋"/>
        </w:rPr>
      </w:pPr>
    </w:p>
    <w:p>
      <w:pPr>
        <w:pStyle w:val="10"/>
        <w:spacing w:before="0" w:beforeAutospacing="0" w:after="0" w:afterAutospacing="0"/>
        <w:jc w:val="center"/>
        <w:rPr>
          <w:rStyle w:val="14"/>
          <w:rFonts w:ascii="仿宋" w:hAnsi="仿宋" w:eastAsia="仿宋" w:cs="Times New Roman"/>
        </w:rPr>
      </w:pPr>
    </w:p>
    <w:p>
      <w:pPr>
        <w:pStyle w:val="10"/>
        <w:spacing w:before="0" w:beforeAutospacing="0" w:after="0" w:afterAutospacing="0" w:line="600" w:lineRule="exact"/>
        <w:ind w:firstLine="602" w:firstLineChars="200"/>
        <w:jc w:val="center"/>
        <w:rPr>
          <w:rStyle w:val="14"/>
          <w:rFonts w:ascii="仿宋" w:hAnsi="仿宋" w:eastAsia="仿宋" w:cs="Times New Roman"/>
          <w:sz w:val="30"/>
          <w:szCs w:val="30"/>
        </w:rPr>
      </w:pPr>
      <w:r>
        <w:rPr>
          <w:rStyle w:val="14"/>
          <w:rFonts w:hint="eastAsia" w:ascii="仿宋" w:hAnsi="仿宋" w:eastAsia="仿宋" w:cs="Times New Roman"/>
          <w:sz w:val="30"/>
          <w:szCs w:val="30"/>
        </w:rPr>
        <w:t>临猗新田村镇银行利润表</w:t>
      </w:r>
    </w:p>
    <w:p>
      <w:pPr>
        <w:pStyle w:val="10"/>
        <w:spacing w:before="0" w:beforeAutospacing="0" w:after="0" w:afterAutospacing="0" w:line="600" w:lineRule="exact"/>
        <w:ind w:right="-341" w:rightChars="-155"/>
        <w:rPr>
          <w:rFonts w:ascii="仿宋" w:hAnsi="仿宋" w:eastAsia="仿宋" w:cs="Times New Roman"/>
        </w:rPr>
      </w:pPr>
      <w:r>
        <w:rPr>
          <w:rFonts w:hint="eastAsia" w:ascii="仿宋" w:hAnsi="仿宋" w:eastAsia="仿宋" w:cs="Times New Roman"/>
        </w:rPr>
        <w:t>编制单位：临猗新田村镇银行日期：2025年12月31日       单位：元</w:t>
      </w:r>
    </w:p>
    <w:tbl>
      <w:tblPr>
        <w:tblStyle w:val="11"/>
        <w:tblW w:w="8800" w:type="dxa"/>
        <w:tblInd w:w="93" w:type="dxa"/>
        <w:tblLayout w:type="fixed"/>
        <w:tblCellMar>
          <w:top w:w="0" w:type="dxa"/>
          <w:left w:w="108" w:type="dxa"/>
          <w:bottom w:w="0" w:type="dxa"/>
          <w:right w:w="108" w:type="dxa"/>
        </w:tblCellMar>
      </w:tblPr>
      <w:tblGrid>
        <w:gridCol w:w="1471"/>
        <w:gridCol w:w="1496"/>
        <w:gridCol w:w="1496"/>
        <w:gridCol w:w="1633"/>
        <w:gridCol w:w="1384"/>
        <w:gridCol w:w="1320"/>
      </w:tblGrid>
      <w:tr>
        <w:tblPrEx>
          <w:tblLayout w:type="fixed"/>
          <w:tblCellMar>
            <w:top w:w="0" w:type="dxa"/>
            <w:left w:w="108" w:type="dxa"/>
            <w:bottom w:w="0" w:type="dxa"/>
            <w:right w:w="108" w:type="dxa"/>
          </w:tblCellMar>
        </w:tblPrEx>
        <w:trPr>
          <w:trHeight w:val="900" w:hRule="atLeast"/>
        </w:trPr>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项目</w:t>
            </w:r>
          </w:p>
        </w:tc>
        <w:tc>
          <w:tcPr>
            <w:tcW w:w="1496"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上期数</w:t>
            </w:r>
          </w:p>
        </w:tc>
        <w:tc>
          <w:tcPr>
            <w:tcW w:w="1496"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本期数</w:t>
            </w:r>
          </w:p>
        </w:tc>
        <w:tc>
          <w:tcPr>
            <w:tcW w:w="1633"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项目</w:t>
            </w:r>
          </w:p>
        </w:tc>
        <w:tc>
          <w:tcPr>
            <w:tcW w:w="1384"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上期数</w:t>
            </w:r>
          </w:p>
        </w:tc>
        <w:tc>
          <w:tcPr>
            <w:tcW w:w="1320"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本期数</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一、营业收入</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30,521,286.91</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29,056,955.91</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减：所得税费用</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1,915,859.87</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609,048.04</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（一）利息净收入</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26,370,944.36</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23,812,281.66</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（一）持续经营净利润（净亏损以“-”号填列）</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利息收入</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54,425,752.35</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51,010,706.90</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（二）终止经营净利润（净亏损以“-”号填列）</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利息支出</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28,054,807.99</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27,198,425.24</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六、其他综合收益的税后净额</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（二）手续费及佣金净收入</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4,132,342.55</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4,924,638.28</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（一）不能重分类进损益的其他综合收益</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手续费及佣金收入</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6,644,397.56</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6,091,715.29</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1.重新计量设定受益计划变动额</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手续费及佣金支出</w:t>
            </w:r>
          </w:p>
        </w:tc>
        <w:tc>
          <w:tcPr>
            <w:tcW w:w="1496"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2,512,055.01</w:t>
            </w:r>
          </w:p>
        </w:tc>
        <w:tc>
          <w:tcPr>
            <w:tcW w:w="1496"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1,167,077.01</w:t>
            </w:r>
          </w:p>
        </w:tc>
        <w:tc>
          <w:tcPr>
            <w:tcW w:w="1633"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2.权益法下不能转损益的其他综合收益</w:t>
            </w:r>
          </w:p>
        </w:tc>
        <w:tc>
          <w:tcPr>
            <w:tcW w:w="1384"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（三）投资收益（损失以"-"号填列）</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3.其他权益工具投资公允价值变动</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其中：对联营企业和合营企业的投资收益</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4.企业自身信用风险公允价值变动</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以摊余成本计量的金融资产终止确认产生的收益</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5.其他</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（四）公允价值变动收益（损失以"-"号填列）</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（二）将重分类进损益的其他综合收益</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（五） 汇兑收益（损失以"-"号填列）</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1.权益法下可转损益的其他综合收益</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（六）其他收益</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137,230.10</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2.其他债权投资公允价值变动</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（七）其他业务收入</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18,000.00</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3.可供出售金融资产公允价值变动损益</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（八）资产处置收益</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182,805.87</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4.金融资产重分类计入其他综合收益的金额</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二、营业支出</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25,765,480.89</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28,015,078.18</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5.持有至到期投资重分类为可供出售金融资产损益</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（一）税金及附加</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211,290.80</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220,253.60</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6.其他债权投资信用减值准备</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（二）业务及管理费</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25,479,754.61</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25,638,330.06</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7.现金流量套期储备（现金流量套期损益的有效部分）</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（三）信用减值损失</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74,435.48</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33,134.52</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8.外币财务报表折算差额</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（四）资产减值损失或呆账损失（转回金额以"-"号填列）</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2,123,360.00</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9.其他</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（五）其他业务成本</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七、综合收益总额</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三、营业利润（亏损以"-"号填列）</w:t>
            </w:r>
          </w:p>
        </w:tc>
        <w:tc>
          <w:tcPr>
            <w:tcW w:w="1496"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4,755,806.02</w:t>
            </w:r>
          </w:p>
        </w:tc>
        <w:tc>
          <w:tcPr>
            <w:tcW w:w="1496"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1,041,877.73</w:t>
            </w:r>
          </w:p>
        </w:tc>
        <w:tc>
          <w:tcPr>
            <w:tcW w:w="1633" w:type="dxa"/>
            <w:tcBorders>
              <w:top w:val="single" w:color="auto" w:sz="4" w:space="0"/>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五、净利润（亏损以"-"号填列）</w:t>
            </w:r>
          </w:p>
        </w:tc>
        <w:tc>
          <w:tcPr>
            <w:tcW w:w="1384"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3,115,147.19</w:t>
            </w:r>
          </w:p>
        </w:tc>
        <w:tc>
          <w:tcPr>
            <w:tcW w:w="1320" w:type="dxa"/>
            <w:tcBorders>
              <w:top w:val="single" w:color="auto" w:sz="4" w:space="0"/>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336,549.61</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加：营业外收入</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285,898.60</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264,779.14</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八、每股收益：</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减：营业外支出</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10,697.56</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361,059.22</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（一）基本每股收益</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r>
        <w:tblPrEx>
          <w:tblLayout w:type="fixed"/>
          <w:tblCellMar>
            <w:top w:w="0" w:type="dxa"/>
            <w:left w:w="108" w:type="dxa"/>
            <w:bottom w:w="0" w:type="dxa"/>
            <w:right w:w="108" w:type="dxa"/>
          </w:tblCellMar>
        </w:tblPrEx>
        <w:trPr>
          <w:trHeight w:val="795" w:hRule="atLeast"/>
        </w:trPr>
        <w:tc>
          <w:tcPr>
            <w:tcW w:w="1471" w:type="dxa"/>
            <w:tcBorders>
              <w:top w:val="nil"/>
              <w:left w:val="single" w:color="auto" w:sz="4" w:space="0"/>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四、利润总额（亏损以"-"号填列）</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5,031,007.06</w:t>
            </w:r>
          </w:p>
        </w:tc>
        <w:tc>
          <w:tcPr>
            <w:tcW w:w="1496"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945,597.65</w:t>
            </w:r>
          </w:p>
        </w:tc>
        <w:tc>
          <w:tcPr>
            <w:tcW w:w="1633" w:type="dxa"/>
            <w:tcBorders>
              <w:top w:val="nil"/>
              <w:left w:val="nil"/>
              <w:bottom w:val="single" w:color="auto" w:sz="4" w:space="0"/>
              <w:right w:val="single" w:color="auto" w:sz="4" w:space="0"/>
            </w:tcBorders>
            <w:shd w:val="clear" w:color="auto" w:fill="auto"/>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（二）稀释每股收益</w:t>
            </w:r>
          </w:p>
        </w:tc>
        <w:tc>
          <w:tcPr>
            <w:tcW w:w="1384"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c>
          <w:tcPr>
            <w:tcW w:w="1320" w:type="dxa"/>
            <w:tcBorders>
              <w:top w:val="nil"/>
              <w:left w:val="nil"/>
              <w:bottom w:val="single" w:color="auto" w:sz="4" w:space="0"/>
              <w:right w:val="single" w:color="auto" w:sz="4" w:space="0"/>
            </w:tcBorders>
            <w:shd w:val="clear" w:color="auto" w:fill="auto"/>
            <w:noWrap/>
            <w:vAlign w:val="center"/>
          </w:tcPr>
          <w:p>
            <w:pPr>
              <w:adjustRightInd/>
              <w:snapToGrid/>
              <w:spacing w:after="0"/>
              <w:jc w:val="center"/>
              <w:rPr>
                <w:rFonts w:ascii="Arial" w:hAnsi="Arial" w:eastAsia="宋体" w:cs="Arial"/>
                <w:color w:val="000000"/>
                <w:sz w:val="20"/>
                <w:szCs w:val="20"/>
              </w:rPr>
            </w:pPr>
            <w:r>
              <w:rPr>
                <w:rFonts w:ascii="Arial" w:hAnsi="Arial" w:eastAsia="宋体" w:cs="Arial"/>
                <w:color w:val="000000"/>
                <w:sz w:val="20"/>
                <w:szCs w:val="20"/>
              </w:rPr>
              <w:t>0</w:t>
            </w:r>
          </w:p>
        </w:tc>
      </w:tr>
    </w:tbl>
    <w:p>
      <w:pPr>
        <w:pStyle w:val="10"/>
        <w:spacing w:before="0" w:beforeAutospacing="0" w:after="0" w:afterAutospacing="0" w:line="600" w:lineRule="exact"/>
        <w:ind w:right="-341" w:rightChars="-155"/>
        <w:rPr>
          <w:rFonts w:ascii="仿宋" w:hAnsi="仿宋" w:eastAsia="仿宋" w:cs="Times New Roman"/>
          <w:highlight w:val="yellow"/>
        </w:rPr>
      </w:pPr>
    </w:p>
    <w:p>
      <w:pPr>
        <w:pStyle w:val="3"/>
        <w:spacing w:line="600" w:lineRule="exact"/>
        <w:ind w:firstLine="602" w:firstLineChars="200"/>
        <w:jc w:val="both"/>
        <w:rPr>
          <w:rFonts w:ascii="仿宋" w:hAnsi="仿宋" w:eastAsia="仿宋"/>
          <w:sz w:val="30"/>
          <w:szCs w:val="30"/>
        </w:rPr>
      </w:pPr>
      <w:r>
        <w:rPr>
          <w:rStyle w:val="14"/>
          <w:rFonts w:ascii="Arial" w:hAnsi="Arial" w:eastAsia="仿宋" w:cs="Arial"/>
          <w:b/>
          <w:bCs/>
          <w:sz w:val="30"/>
          <w:szCs w:val="30"/>
        </w:rPr>
        <w:t>   </w:t>
      </w:r>
      <w:r>
        <w:rPr>
          <w:rStyle w:val="20"/>
          <w:rFonts w:ascii="Arial" w:hAnsi="Arial" w:eastAsia="仿宋" w:cs="Arial"/>
          <w:sz w:val="30"/>
          <w:szCs w:val="30"/>
        </w:rPr>
        <w:t> </w:t>
      </w:r>
      <w:bookmarkStart w:id="12" w:name="_Toc481080001"/>
      <w:r>
        <w:rPr>
          <w:rStyle w:val="14"/>
          <w:rFonts w:hint="eastAsia" w:ascii="仿宋" w:hAnsi="仿宋" w:eastAsia="仿宋" w:cs="Arial"/>
          <w:b w:val="0"/>
          <w:bCs w:val="0"/>
          <w:sz w:val="30"/>
          <w:szCs w:val="30"/>
        </w:rPr>
        <w:t>二、</w:t>
      </w:r>
      <w:bookmarkEnd w:id="12"/>
      <w:r>
        <w:rPr>
          <w:rStyle w:val="14"/>
          <w:rFonts w:hint="eastAsia" w:ascii="仿宋" w:hAnsi="仿宋" w:eastAsia="仿宋" w:cs="Arial"/>
          <w:b/>
          <w:bCs/>
          <w:sz w:val="30"/>
          <w:szCs w:val="30"/>
        </w:rPr>
        <w:t>会计报表附注</w:t>
      </w:r>
    </w:p>
    <w:p>
      <w:pPr>
        <w:pStyle w:val="10"/>
        <w:spacing w:before="0" w:beforeAutospacing="0" w:after="0" w:afterAutospacing="0" w:line="600" w:lineRule="exact"/>
        <w:ind w:firstLine="602" w:firstLineChars="200"/>
        <w:jc w:val="both"/>
        <w:rPr>
          <w:rFonts w:ascii="仿宋" w:hAnsi="仿宋" w:eastAsia="仿宋"/>
          <w:sz w:val="30"/>
          <w:szCs w:val="30"/>
        </w:rPr>
      </w:pPr>
      <w:r>
        <w:rPr>
          <w:rStyle w:val="14"/>
          <w:rFonts w:hint="eastAsia" w:ascii="仿宋" w:hAnsi="仿宋" w:eastAsia="仿宋" w:cs="Times New Roman"/>
          <w:sz w:val="30"/>
          <w:szCs w:val="30"/>
        </w:rPr>
        <w:t>（一）编制基础</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本财务报表按照企业会计准则和《金融企业会计制度》以及其他相关规定编制；本财务报表以持续经营为基础列报；本财务报表编制基础全部符合会计核算基本前提。</w:t>
      </w:r>
    </w:p>
    <w:p>
      <w:pPr>
        <w:pStyle w:val="10"/>
        <w:spacing w:before="0" w:beforeAutospacing="0" w:after="0" w:afterAutospacing="0" w:line="600" w:lineRule="exact"/>
        <w:ind w:firstLine="602" w:firstLineChars="200"/>
        <w:jc w:val="both"/>
        <w:rPr>
          <w:rFonts w:ascii="仿宋" w:hAnsi="仿宋" w:eastAsia="仿宋"/>
          <w:sz w:val="30"/>
          <w:szCs w:val="30"/>
        </w:rPr>
      </w:pPr>
      <w:r>
        <w:rPr>
          <w:rStyle w:val="14"/>
          <w:rFonts w:hint="eastAsia" w:ascii="仿宋" w:hAnsi="仿宋" w:eastAsia="仿宋" w:cs="Times New Roman"/>
          <w:sz w:val="30"/>
          <w:szCs w:val="30"/>
        </w:rPr>
        <w:t>（二）重要会计政策和会计估计</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1、会计年度。本行会计年度自公历1月1日起至12月31日止。</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2、记账本位币。本行以人民币为记账本位币。</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3、记账基础和计价原则。本行以权责发生制为基础进行会计确认、计量和报告，特别说明以历史成本为计价原则的除外。资产如果发生减值，则按照相关规定计提相应的减值准备。</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4、贷款的种类和范围。本行的贷款种类包括：抵押贷款、保证贷款、信用贷款、质押贷款；本行的贷款范围有：农、林、牧、渔业、交通运输、仓储和邮政业、批发和零售业、住宿和餐饮业、制造业、个人贷款等。</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5、投资核算方法。长期股权投资计价和收益确认方法：长期股权投资按取得时的实际成本作为初始投资成本，对被投资企业没有实际控制权的，采用成本法核算。处置长期股权投资时，将投资的账面价值与实际取得价款的差额，作为当期投资损益。</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6、计提各项资产减值准备的范围和方法。</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（1）资产减值准备提取范围。对承担风险和损失的债权和股权资产计提减值准备。</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资产减值准备中的贷款损失准备的计提范围为本行承担风险和损失的各项贷款。其他资产减值准备计提的范围为除各项贷款以外的其他风险资产。</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（2）资产减值准备提取比例及方法</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贷款损失准备按贷款风险五级分类的标准提取贷款损失准备，贷款损失准备计提比例为关注类2％、次级类25%、可疑类50%、损失类100%，对特定国家、地区或行业发放的贷款，根据的风险程度和回收可能性，分析确定各类信贷资产应计提特种准备。</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经批准核销的呆账贷款，冲销贷款损失准备金；已冲销的损失呆账贷款，以后又收回的，按已冲销的贷款损失准备金予以转回。</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7、收入确认原则和方法</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1）利息收入。按照财政部《关于调整金融企业应收利息核算办法的通知》财金［2001］25号和《关于缩短金融企业应收利息核算期限的通知》（财金[2002]5号的规定确认和计量。发放的贷款到期（含展期，下同）90天及以上尚未收回的，其应计利息停止计入当期利息收入，纳入表外核算；其已计提的利息收入，在贷款到期90天后仍未收回的，或在应收利息逾期90天后仍未收到的，冲减原已计入损益的利息收入，转作表外核算。表外核算的应计利息，在实际收到时确认为收款期的利息收入。</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（2）中间业务收入。包括支付结算手续费收入、代理业务手续费收入等，在交易已经完成，实际收到款项时确认中间业务收入。</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（3）其他业务收入。均在实际收到款项时确认收入。</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8、衍生金融工具的计价方法。截至本财务报表批准报出日止，本行没有衍生金融工具，暂无相关计价方法。</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9、外币业务和报表折算方法。截至本财务报表批准报出日止，本行没有外币业务和报表，暂无折算方法。</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10、合并会计报表的编制方法。本行会计报表按照企业会计准则进行编制。</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11、固定资产计价和折旧方法。固定资产是指使用年限在1年（不含1年）以上，单位价值在5000元（不含5000元）以上，并在使用过程中保持原有物质形态的资产，包括房屋及建筑物、电子设备、运输设备、机器设备、办公设备及其他等。固定资产按购置或新建时的原始成本计价。固定资产折旧采用直线法计算，按原价减去5%的净残值在分类折旧年限内平均计提。固定资产的类别、分类折旧年限列示如下：</w:t>
      </w:r>
    </w:p>
    <w:tbl>
      <w:tblPr>
        <w:tblStyle w:val="11"/>
        <w:tblW w:w="8246"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336"/>
        <w:gridCol w:w="3240"/>
        <w:gridCol w:w="2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5" w:hRule="atLeast"/>
        </w:trPr>
        <w:tc>
          <w:tcPr>
            <w:tcW w:w="2336" w:type="dxa"/>
            <w:shd w:val="clear" w:color="auto" w:fill="FFFFFF"/>
            <w:tcMar>
              <w:top w:w="0" w:type="dxa"/>
              <w:left w:w="108" w:type="dxa"/>
              <w:bottom w:w="0" w:type="dxa"/>
              <w:right w:w="108" w:type="dxa"/>
            </w:tcMar>
            <w:vAlign w:val="center"/>
          </w:tcPr>
          <w:p>
            <w:pPr>
              <w:pStyle w:val="10"/>
              <w:spacing w:before="0" w:beforeAutospacing="0" w:after="0" w:afterAutospacing="0" w:line="600" w:lineRule="exact"/>
              <w:rPr>
                <w:rFonts w:ascii="仿宋" w:hAnsi="仿宋" w:eastAsia="仿宋"/>
                <w:sz w:val="30"/>
                <w:szCs w:val="30"/>
              </w:rPr>
            </w:pPr>
            <w:r>
              <w:rPr>
                <w:rStyle w:val="20"/>
                <w:rFonts w:ascii="Times New Roman" w:hAnsi="Times New Roman" w:eastAsia="仿宋" w:cs="Times New Roman"/>
                <w:sz w:val="30"/>
                <w:szCs w:val="30"/>
              </w:rPr>
              <w:t> </w:t>
            </w:r>
            <w:r>
              <w:rPr>
                <w:rFonts w:hint="eastAsia" w:ascii="仿宋" w:hAnsi="仿宋" w:eastAsia="仿宋" w:cs="Times New Roman"/>
                <w:sz w:val="30"/>
                <w:szCs w:val="30"/>
              </w:rPr>
              <w:t>固定资产类别</w:t>
            </w:r>
          </w:p>
        </w:tc>
        <w:tc>
          <w:tcPr>
            <w:tcW w:w="3240" w:type="dxa"/>
            <w:shd w:val="clear" w:color="auto" w:fill="FFFFFF"/>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sz w:val="30"/>
                <w:szCs w:val="30"/>
              </w:rPr>
            </w:pPr>
            <w:r>
              <w:rPr>
                <w:rFonts w:hint="eastAsia" w:ascii="仿宋" w:hAnsi="仿宋" w:eastAsia="仿宋" w:cs="Times New Roman"/>
                <w:sz w:val="30"/>
                <w:szCs w:val="30"/>
              </w:rPr>
              <w:t>预计使用年限 （年）</w:t>
            </w:r>
          </w:p>
        </w:tc>
        <w:tc>
          <w:tcPr>
            <w:tcW w:w="2670" w:type="dxa"/>
            <w:shd w:val="clear" w:color="auto" w:fill="FFFFFF"/>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sz w:val="30"/>
                <w:szCs w:val="30"/>
              </w:rPr>
            </w:pPr>
            <w:r>
              <w:rPr>
                <w:rFonts w:hint="eastAsia" w:ascii="仿宋" w:hAnsi="仿宋" w:eastAsia="仿宋" w:cs="Times New Roman"/>
                <w:sz w:val="30"/>
                <w:szCs w:val="30"/>
              </w:rPr>
              <w:t>年折旧率（%）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285" w:hRule="atLeast"/>
        </w:trPr>
        <w:tc>
          <w:tcPr>
            <w:tcW w:w="2336" w:type="dxa"/>
            <w:shd w:val="clear" w:color="auto" w:fill="FFFFFF"/>
            <w:tcMar>
              <w:top w:w="0" w:type="dxa"/>
              <w:left w:w="108" w:type="dxa"/>
              <w:bottom w:w="0" w:type="dxa"/>
              <w:right w:w="108" w:type="dxa"/>
            </w:tcMar>
            <w:vAlign w:val="center"/>
          </w:tcPr>
          <w:p>
            <w:pPr>
              <w:pStyle w:val="10"/>
              <w:spacing w:before="0" w:beforeAutospacing="0" w:after="0" w:afterAutospacing="0" w:line="600" w:lineRule="exact"/>
              <w:rPr>
                <w:rFonts w:ascii="仿宋" w:hAnsi="仿宋" w:eastAsia="仿宋"/>
                <w:sz w:val="30"/>
                <w:szCs w:val="30"/>
              </w:rPr>
            </w:pPr>
            <w:r>
              <w:rPr>
                <w:rFonts w:hint="eastAsia" w:ascii="仿宋" w:hAnsi="仿宋" w:eastAsia="仿宋" w:cs="Times New Roman"/>
                <w:sz w:val="30"/>
                <w:szCs w:val="30"/>
              </w:rPr>
              <w:t>房屋及建筑物</w:t>
            </w:r>
          </w:p>
        </w:tc>
        <w:tc>
          <w:tcPr>
            <w:tcW w:w="3240" w:type="dxa"/>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600" w:firstLineChars="200"/>
              <w:jc w:val="center"/>
              <w:rPr>
                <w:rFonts w:ascii="仿宋" w:hAnsi="仿宋" w:eastAsia="仿宋"/>
                <w:sz w:val="30"/>
                <w:szCs w:val="30"/>
              </w:rPr>
            </w:pPr>
            <w:r>
              <w:rPr>
                <w:rFonts w:hint="eastAsia" w:ascii="仿宋" w:hAnsi="仿宋" w:eastAsia="仿宋" w:cs="Times New Roman"/>
                <w:sz w:val="30"/>
                <w:szCs w:val="30"/>
              </w:rPr>
              <w:t>20年</w:t>
            </w:r>
          </w:p>
        </w:tc>
        <w:tc>
          <w:tcPr>
            <w:tcW w:w="2670" w:type="dxa"/>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600" w:firstLineChars="200"/>
              <w:jc w:val="center"/>
              <w:rPr>
                <w:rFonts w:ascii="仿宋" w:hAnsi="仿宋" w:eastAsia="仿宋"/>
                <w:sz w:val="30"/>
                <w:szCs w:val="30"/>
              </w:rPr>
            </w:pPr>
            <w:r>
              <w:rPr>
                <w:rFonts w:hint="eastAsia" w:ascii="仿宋" w:hAnsi="仿宋" w:eastAsia="仿宋" w:cs="Times New Roman"/>
                <w:sz w:val="30"/>
                <w:szCs w:val="3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2336" w:type="dxa"/>
            <w:shd w:val="clear" w:color="auto" w:fill="FFFFFF"/>
            <w:tcMar>
              <w:top w:w="0" w:type="dxa"/>
              <w:left w:w="108" w:type="dxa"/>
              <w:bottom w:w="0" w:type="dxa"/>
              <w:right w:w="108" w:type="dxa"/>
            </w:tcMar>
            <w:vAlign w:val="center"/>
          </w:tcPr>
          <w:p>
            <w:pPr>
              <w:pStyle w:val="10"/>
              <w:spacing w:before="0" w:beforeAutospacing="0" w:after="0" w:afterAutospacing="0" w:line="600" w:lineRule="exact"/>
              <w:rPr>
                <w:rFonts w:ascii="仿宋" w:hAnsi="仿宋" w:eastAsia="仿宋"/>
                <w:sz w:val="30"/>
                <w:szCs w:val="30"/>
              </w:rPr>
            </w:pPr>
            <w:r>
              <w:rPr>
                <w:rStyle w:val="20"/>
                <w:rFonts w:ascii="Times New Roman" w:hAnsi="Times New Roman" w:eastAsia="仿宋" w:cs="Times New Roman"/>
                <w:sz w:val="30"/>
                <w:szCs w:val="30"/>
              </w:rPr>
              <w:t> </w:t>
            </w:r>
            <w:r>
              <w:rPr>
                <w:rFonts w:hint="eastAsia" w:ascii="仿宋" w:hAnsi="仿宋" w:eastAsia="仿宋" w:cs="Times New Roman"/>
                <w:sz w:val="30"/>
                <w:szCs w:val="30"/>
              </w:rPr>
              <w:t>运输工具</w:t>
            </w:r>
          </w:p>
        </w:tc>
        <w:tc>
          <w:tcPr>
            <w:tcW w:w="3240" w:type="dxa"/>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600" w:firstLineChars="200"/>
              <w:jc w:val="center"/>
              <w:rPr>
                <w:rFonts w:ascii="仿宋" w:hAnsi="仿宋" w:eastAsia="仿宋"/>
                <w:sz w:val="30"/>
                <w:szCs w:val="30"/>
              </w:rPr>
            </w:pPr>
            <w:r>
              <w:rPr>
                <w:rFonts w:hint="eastAsia" w:ascii="仿宋" w:hAnsi="仿宋" w:eastAsia="仿宋" w:cs="Times New Roman"/>
                <w:sz w:val="30"/>
                <w:szCs w:val="30"/>
              </w:rPr>
              <w:t>4年</w:t>
            </w:r>
          </w:p>
        </w:tc>
        <w:tc>
          <w:tcPr>
            <w:tcW w:w="2670" w:type="dxa"/>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600" w:firstLineChars="200"/>
              <w:jc w:val="center"/>
              <w:rPr>
                <w:rFonts w:ascii="仿宋" w:hAnsi="仿宋" w:eastAsia="仿宋"/>
                <w:sz w:val="30"/>
                <w:szCs w:val="30"/>
              </w:rPr>
            </w:pPr>
            <w:r>
              <w:rPr>
                <w:rFonts w:hint="eastAsia" w:ascii="仿宋" w:hAnsi="仿宋" w:eastAsia="仿宋" w:cs="Times New Roman"/>
                <w:sz w:val="30"/>
                <w:szCs w:val="30"/>
              </w:rPr>
              <w:t>23.75%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2336" w:type="dxa"/>
            <w:shd w:val="clear" w:color="auto" w:fill="FFFFFF"/>
            <w:tcMar>
              <w:top w:w="0" w:type="dxa"/>
              <w:left w:w="108" w:type="dxa"/>
              <w:bottom w:w="0" w:type="dxa"/>
              <w:right w:w="108" w:type="dxa"/>
            </w:tcMar>
            <w:vAlign w:val="center"/>
          </w:tcPr>
          <w:p>
            <w:pPr>
              <w:pStyle w:val="10"/>
              <w:spacing w:before="0" w:beforeAutospacing="0" w:after="0" w:afterAutospacing="0" w:line="600" w:lineRule="exact"/>
              <w:rPr>
                <w:rFonts w:ascii="仿宋" w:hAnsi="仿宋" w:eastAsia="仿宋"/>
                <w:sz w:val="30"/>
                <w:szCs w:val="30"/>
              </w:rPr>
            </w:pPr>
            <w:r>
              <w:rPr>
                <w:rFonts w:hint="eastAsia" w:ascii="仿宋" w:hAnsi="仿宋" w:eastAsia="仿宋" w:cs="Times New Roman"/>
                <w:sz w:val="30"/>
                <w:szCs w:val="30"/>
              </w:rPr>
              <w:t>办公设备及其他</w:t>
            </w:r>
          </w:p>
        </w:tc>
        <w:tc>
          <w:tcPr>
            <w:tcW w:w="3240" w:type="dxa"/>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600" w:firstLineChars="200"/>
              <w:jc w:val="center"/>
              <w:rPr>
                <w:rFonts w:ascii="仿宋" w:hAnsi="仿宋" w:eastAsia="仿宋"/>
                <w:sz w:val="30"/>
                <w:szCs w:val="30"/>
              </w:rPr>
            </w:pPr>
            <w:r>
              <w:rPr>
                <w:rFonts w:hint="eastAsia" w:ascii="仿宋" w:hAnsi="仿宋" w:eastAsia="仿宋" w:cs="Times New Roman"/>
                <w:sz w:val="30"/>
                <w:szCs w:val="30"/>
              </w:rPr>
              <w:t>3年至5年</w:t>
            </w:r>
          </w:p>
        </w:tc>
        <w:tc>
          <w:tcPr>
            <w:tcW w:w="2670" w:type="dxa"/>
            <w:shd w:val="clear" w:color="auto" w:fill="FFFFFF"/>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sz w:val="30"/>
                <w:szCs w:val="30"/>
              </w:rPr>
            </w:pPr>
            <w:r>
              <w:rPr>
                <w:rFonts w:hint="eastAsia" w:ascii="仿宋" w:hAnsi="仿宋" w:eastAsia="仿宋" w:cs="Times New Roman"/>
                <w:sz w:val="30"/>
                <w:szCs w:val="30"/>
              </w:rPr>
              <w:t>31.67%至19.00%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60" w:hRule="atLeast"/>
        </w:trPr>
        <w:tc>
          <w:tcPr>
            <w:tcW w:w="2336" w:type="dxa"/>
            <w:shd w:val="clear" w:color="auto" w:fill="FFFFFF"/>
            <w:tcMar>
              <w:top w:w="0" w:type="dxa"/>
              <w:left w:w="108" w:type="dxa"/>
              <w:bottom w:w="0" w:type="dxa"/>
              <w:right w:w="108" w:type="dxa"/>
            </w:tcMar>
            <w:vAlign w:val="center"/>
          </w:tcPr>
          <w:p>
            <w:pPr>
              <w:pStyle w:val="10"/>
              <w:spacing w:before="0" w:beforeAutospacing="0" w:after="0" w:afterAutospacing="0" w:line="600" w:lineRule="exact"/>
              <w:rPr>
                <w:rFonts w:ascii="仿宋" w:hAnsi="仿宋" w:eastAsia="仿宋" w:cs="Times New Roman"/>
                <w:sz w:val="30"/>
                <w:szCs w:val="30"/>
              </w:rPr>
            </w:pPr>
            <w:r>
              <w:rPr>
                <w:rFonts w:hint="eastAsia" w:ascii="仿宋" w:hAnsi="仿宋" w:eastAsia="仿宋" w:cs="Times New Roman"/>
                <w:sz w:val="30"/>
                <w:szCs w:val="30"/>
              </w:rPr>
              <w:t>电子设备</w:t>
            </w:r>
          </w:p>
        </w:tc>
        <w:tc>
          <w:tcPr>
            <w:tcW w:w="3240" w:type="dxa"/>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600" w:firstLineChars="200"/>
              <w:jc w:val="center"/>
              <w:rPr>
                <w:rFonts w:ascii="仿宋" w:hAnsi="仿宋" w:eastAsia="仿宋" w:cs="Times New Roman"/>
                <w:sz w:val="30"/>
                <w:szCs w:val="30"/>
              </w:rPr>
            </w:pPr>
            <w:r>
              <w:rPr>
                <w:rFonts w:hint="eastAsia" w:ascii="仿宋" w:hAnsi="仿宋" w:eastAsia="仿宋" w:cs="Times New Roman"/>
                <w:sz w:val="30"/>
                <w:szCs w:val="30"/>
              </w:rPr>
              <w:t>3年</w:t>
            </w:r>
          </w:p>
        </w:tc>
        <w:tc>
          <w:tcPr>
            <w:tcW w:w="2670" w:type="dxa"/>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600" w:firstLineChars="200"/>
              <w:jc w:val="center"/>
              <w:rPr>
                <w:rFonts w:ascii="仿宋" w:hAnsi="仿宋" w:eastAsia="仿宋" w:cs="Times New Roman"/>
                <w:sz w:val="30"/>
                <w:szCs w:val="30"/>
              </w:rPr>
            </w:pPr>
            <w:r>
              <w:rPr>
                <w:rFonts w:hint="eastAsia" w:ascii="仿宋" w:hAnsi="仿宋" w:eastAsia="仿宋" w:cs="Times New Roman"/>
                <w:sz w:val="30"/>
                <w:szCs w:val="30"/>
              </w:rPr>
              <w:t>31.67%</w:t>
            </w:r>
          </w:p>
        </w:tc>
      </w:tr>
    </w:tbl>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12、无形资产计价及摊销政策。无形资产是指本行拥有或者控制的没有实物形态的可辨认非货币性资产，本行的无形资产为应用软件，按十年进行摊销。</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13、长期待摊费用的摊销政策。长期待摊费用是指不能全部计入当期损益，应当在以后年度分期摊销的各项费用。本行递延资产主要包括摊销期限在一年及以上的经营用监控设备款及装修款，以实际发生额核算，按预计受益期限平均摊销。</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14、所得税的会计处理方法。本行采用应付税款法核算所得税。按照当期计算的应交所得税确认为当期所得税费用。对企业所得税年度汇算清缴产生的与上一会计年度计算的应交所得税之间的差额调整汇算清缴年度的所得税费用和应交所得税。</w:t>
      </w:r>
    </w:p>
    <w:p>
      <w:pPr>
        <w:pStyle w:val="10"/>
        <w:spacing w:before="0" w:beforeAutospacing="0" w:after="0" w:afterAutospacing="0" w:line="600" w:lineRule="exact"/>
        <w:ind w:firstLine="602" w:firstLineChars="200"/>
        <w:jc w:val="both"/>
        <w:rPr>
          <w:rFonts w:ascii="仿宋" w:hAnsi="仿宋" w:eastAsia="仿宋"/>
          <w:sz w:val="30"/>
          <w:szCs w:val="30"/>
          <w:highlight w:val="yellow"/>
        </w:rPr>
      </w:pPr>
      <w:r>
        <w:rPr>
          <w:rStyle w:val="14"/>
          <w:rFonts w:hint="eastAsia" w:ascii="仿宋" w:hAnsi="仿宋" w:eastAsia="仿宋" w:cs="Times New Roman"/>
          <w:sz w:val="30"/>
          <w:szCs w:val="30"/>
        </w:rPr>
        <w:t>（三）财务报表主要项目附注</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注：除有特别说明外，以下财务报表主要项目附注的金额单位为：人民币万元</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1．同业款项</w:t>
      </w:r>
    </w:p>
    <w:tbl>
      <w:tblPr>
        <w:tblStyle w:val="11"/>
        <w:tblW w:w="8478" w:type="dxa"/>
        <w:jc w:val="center"/>
        <w:tblInd w:w="0" w:type="dxa"/>
        <w:tblLayout w:type="fixed"/>
        <w:tblCellMar>
          <w:top w:w="15" w:type="dxa"/>
          <w:left w:w="15" w:type="dxa"/>
          <w:bottom w:w="15" w:type="dxa"/>
          <w:right w:w="15" w:type="dxa"/>
        </w:tblCellMar>
      </w:tblPr>
      <w:tblGrid>
        <w:gridCol w:w="2552"/>
        <w:gridCol w:w="2669"/>
        <w:gridCol w:w="3257"/>
      </w:tblGrid>
      <w:tr>
        <w:tblPrEx>
          <w:tblLayout w:type="fixed"/>
          <w:tblCellMar>
            <w:top w:w="15" w:type="dxa"/>
            <w:left w:w="15" w:type="dxa"/>
            <w:bottom w:w="15" w:type="dxa"/>
            <w:right w:w="15" w:type="dxa"/>
          </w:tblCellMar>
        </w:tblPrEx>
        <w:trPr>
          <w:trHeight w:val="240" w:hRule="atLeast"/>
          <w:jc w:val="center"/>
        </w:trPr>
        <w:tc>
          <w:tcPr>
            <w:tcW w:w="255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rPr>
            </w:pPr>
            <w:r>
              <w:rPr>
                <w:rFonts w:hint="eastAsia" w:ascii="仿宋" w:hAnsi="仿宋" w:eastAsia="仿宋" w:cs="Times New Roman"/>
              </w:rPr>
              <w:t>项</w:t>
            </w:r>
            <w:r>
              <w:rPr>
                <w:rFonts w:hint="eastAsia" w:eastAsia="仿宋" w:cs="Times New Roman"/>
              </w:rPr>
              <w:t>     </w:t>
            </w:r>
            <w:r>
              <w:rPr>
                <w:rFonts w:hint="eastAsia" w:ascii="仿宋" w:hAnsi="仿宋" w:eastAsia="仿宋" w:cs="Times New Roman"/>
              </w:rPr>
              <w:t>目</w:t>
            </w:r>
          </w:p>
        </w:tc>
        <w:tc>
          <w:tcPr>
            <w:tcW w:w="26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rPr>
            </w:pPr>
            <w:r>
              <w:rPr>
                <w:rFonts w:hint="eastAsia" w:ascii="仿宋" w:hAnsi="仿宋" w:eastAsia="仿宋" w:cs="Times New Roman"/>
              </w:rPr>
              <w:t>2024年12月31日</w:t>
            </w:r>
          </w:p>
        </w:tc>
        <w:tc>
          <w:tcPr>
            <w:tcW w:w="325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2025年12月31日</w:t>
            </w:r>
          </w:p>
        </w:tc>
      </w:tr>
      <w:tr>
        <w:tblPrEx>
          <w:tblLayout w:type="fixed"/>
          <w:tblCellMar>
            <w:top w:w="15" w:type="dxa"/>
            <w:left w:w="15" w:type="dxa"/>
            <w:bottom w:w="15" w:type="dxa"/>
            <w:right w:w="15" w:type="dxa"/>
          </w:tblCellMar>
        </w:tblPrEx>
        <w:trPr>
          <w:trHeight w:val="240" w:hRule="atLeast"/>
          <w:jc w:val="center"/>
        </w:trPr>
        <w:tc>
          <w:tcPr>
            <w:tcW w:w="255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rPr>
            </w:pPr>
            <w:r>
              <w:rPr>
                <w:rFonts w:hint="eastAsia" w:ascii="仿宋" w:hAnsi="仿宋" w:eastAsia="仿宋" w:cs="Times New Roman"/>
              </w:rPr>
              <w:t>存放境内同业款项</w:t>
            </w:r>
          </w:p>
        </w:tc>
        <w:tc>
          <w:tcPr>
            <w:tcW w:w="26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55735.35</w:t>
            </w:r>
          </w:p>
        </w:tc>
        <w:tc>
          <w:tcPr>
            <w:tcW w:w="325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50695.65</w:t>
            </w:r>
          </w:p>
        </w:tc>
      </w:tr>
      <w:tr>
        <w:tblPrEx>
          <w:tblLayout w:type="fixed"/>
          <w:tblCellMar>
            <w:top w:w="15" w:type="dxa"/>
            <w:left w:w="15" w:type="dxa"/>
            <w:bottom w:w="15" w:type="dxa"/>
            <w:right w:w="15" w:type="dxa"/>
          </w:tblCellMar>
        </w:tblPrEx>
        <w:trPr>
          <w:trHeight w:val="240" w:hRule="atLeast"/>
          <w:jc w:val="center"/>
        </w:trPr>
        <w:tc>
          <w:tcPr>
            <w:tcW w:w="255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rPr>
            </w:pPr>
            <w:r>
              <w:rPr>
                <w:rFonts w:hint="eastAsia" w:ascii="仿宋" w:hAnsi="仿宋" w:eastAsia="仿宋" w:cs="Times New Roman"/>
              </w:rPr>
              <w:t>存放境外同业款项</w:t>
            </w:r>
          </w:p>
        </w:tc>
        <w:tc>
          <w:tcPr>
            <w:tcW w:w="26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0</w:t>
            </w:r>
          </w:p>
        </w:tc>
        <w:tc>
          <w:tcPr>
            <w:tcW w:w="325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0</w:t>
            </w:r>
          </w:p>
        </w:tc>
      </w:tr>
      <w:tr>
        <w:tblPrEx>
          <w:tblLayout w:type="fixed"/>
          <w:tblCellMar>
            <w:top w:w="15" w:type="dxa"/>
            <w:left w:w="15" w:type="dxa"/>
            <w:bottom w:w="15" w:type="dxa"/>
            <w:right w:w="15" w:type="dxa"/>
          </w:tblCellMar>
        </w:tblPrEx>
        <w:trPr>
          <w:trHeight w:val="240" w:hRule="atLeast"/>
          <w:jc w:val="center"/>
        </w:trPr>
        <w:tc>
          <w:tcPr>
            <w:tcW w:w="255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rPr>
            </w:pPr>
            <w:r>
              <w:rPr>
                <w:rFonts w:hint="eastAsia" w:ascii="仿宋" w:hAnsi="仿宋" w:eastAsia="仿宋" w:cs="Times New Roman"/>
              </w:rPr>
              <w:t>拆放境内同业款项</w:t>
            </w:r>
          </w:p>
        </w:tc>
        <w:tc>
          <w:tcPr>
            <w:tcW w:w="26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0</w:t>
            </w:r>
          </w:p>
        </w:tc>
        <w:tc>
          <w:tcPr>
            <w:tcW w:w="325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0</w:t>
            </w:r>
          </w:p>
        </w:tc>
      </w:tr>
      <w:tr>
        <w:tblPrEx>
          <w:tblLayout w:type="fixed"/>
          <w:tblCellMar>
            <w:top w:w="15" w:type="dxa"/>
            <w:left w:w="15" w:type="dxa"/>
            <w:bottom w:w="15" w:type="dxa"/>
            <w:right w:w="15" w:type="dxa"/>
          </w:tblCellMar>
        </w:tblPrEx>
        <w:trPr>
          <w:trHeight w:val="240" w:hRule="atLeast"/>
          <w:jc w:val="center"/>
        </w:trPr>
        <w:tc>
          <w:tcPr>
            <w:tcW w:w="255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rPr>
            </w:pPr>
            <w:r>
              <w:rPr>
                <w:rFonts w:hint="eastAsia" w:ascii="仿宋" w:hAnsi="仿宋" w:eastAsia="仿宋" w:cs="Times New Roman"/>
              </w:rPr>
              <w:t>拆放境外同业款项</w:t>
            </w:r>
          </w:p>
        </w:tc>
        <w:tc>
          <w:tcPr>
            <w:tcW w:w="26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0</w:t>
            </w:r>
          </w:p>
        </w:tc>
        <w:tc>
          <w:tcPr>
            <w:tcW w:w="325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0</w:t>
            </w:r>
          </w:p>
        </w:tc>
      </w:tr>
      <w:tr>
        <w:tblPrEx>
          <w:tblLayout w:type="fixed"/>
          <w:tblCellMar>
            <w:top w:w="15" w:type="dxa"/>
            <w:left w:w="15" w:type="dxa"/>
            <w:bottom w:w="15" w:type="dxa"/>
            <w:right w:w="15" w:type="dxa"/>
          </w:tblCellMar>
        </w:tblPrEx>
        <w:trPr>
          <w:trHeight w:val="240" w:hRule="atLeast"/>
          <w:jc w:val="center"/>
        </w:trPr>
        <w:tc>
          <w:tcPr>
            <w:tcW w:w="255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rPr>
            </w:pPr>
            <w:r>
              <w:rPr>
                <w:rFonts w:hint="eastAsia" w:ascii="仿宋" w:hAnsi="仿宋" w:eastAsia="仿宋" w:cs="Times New Roman"/>
              </w:rPr>
              <w:t>境内同业拆入款项</w:t>
            </w:r>
          </w:p>
        </w:tc>
        <w:tc>
          <w:tcPr>
            <w:tcW w:w="26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0</w:t>
            </w:r>
          </w:p>
        </w:tc>
        <w:tc>
          <w:tcPr>
            <w:tcW w:w="325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0</w:t>
            </w:r>
          </w:p>
        </w:tc>
      </w:tr>
      <w:tr>
        <w:tblPrEx>
          <w:tblLayout w:type="fixed"/>
          <w:tblCellMar>
            <w:top w:w="15" w:type="dxa"/>
            <w:left w:w="15" w:type="dxa"/>
            <w:bottom w:w="15" w:type="dxa"/>
            <w:right w:w="15" w:type="dxa"/>
          </w:tblCellMar>
        </w:tblPrEx>
        <w:trPr>
          <w:trHeight w:val="240" w:hRule="atLeast"/>
          <w:jc w:val="center"/>
        </w:trPr>
        <w:tc>
          <w:tcPr>
            <w:tcW w:w="255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rPr>
            </w:pPr>
            <w:r>
              <w:rPr>
                <w:rFonts w:hint="eastAsia" w:ascii="仿宋" w:hAnsi="仿宋" w:eastAsia="仿宋" w:cs="Times New Roman"/>
              </w:rPr>
              <w:t>境外同业拆入款项</w:t>
            </w:r>
          </w:p>
        </w:tc>
        <w:tc>
          <w:tcPr>
            <w:tcW w:w="2669"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0</w:t>
            </w:r>
          </w:p>
        </w:tc>
        <w:tc>
          <w:tcPr>
            <w:tcW w:w="3257" w:type="dxa"/>
            <w:tcBorders>
              <w:top w:val="single" w:color="auto" w:sz="4" w:space="0"/>
              <w:left w:val="single" w:color="auto" w:sz="4" w:space="0"/>
              <w:bottom w:val="single" w:color="auto" w:sz="8" w:space="0"/>
              <w:right w:val="single" w:color="000000" w:sz="8"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0</w:t>
            </w:r>
          </w:p>
        </w:tc>
      </w:tr>
    </w:tbl>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2．按发放贷款的担保方式分布情况分析</w:t>
      </w:r>
    </w:p>
    <w:tbl>
      <w:tblPr>
        <w:tblStyle w:val="11"/>
        <w:tblW w:w="8572" w:type="dxa"/>
        <w:jc w:val="center"/>
        <w:tblInd w:w="0" w:type="dxa"/>
        <w:tblLayout w:type="fixed"/>
        <w:tblCellMar>
          <w:top w:w="15" w:type="dxa"/>
          <w:left w:w="15" w:type="dxa"/>
          <w:bottom w:w="15" w:type="dxa"/>
          <w:right w:w="15" w:type="dxa"/>
        </w:tblCellMar>
      </w:tblPr>
      <w:tblGrid>
        <w:gridCol w:w="2000"/>
        <w:gridCol w:w="3280"/>
        <w:gridCol w:w="3292"/>
      </w:tblGrid>
      <w:tr>
        <w:tblPrEx>
          <w:tblLayout w:type="fixed"/>
          <w:tblCellMar>
            <w:top w:w="15" w:type="dxa"/>
            <w:left w:w="15" w:type="dxa"/>
            <w:bottom w:w="15" w:type="dxa"/>
            <w:right w:w="15" w:type="dxa"/>
          </w:tblCellMar>
        </w:tblPrEx>
        <w:trPr>
          <w:trHeight w:val="300" w:hRule="atLeast"/>
          <w:jc w:val="center"/>
        </w:trPr>
        <w:tc>
          <w:tcPr>
            <w:tcW w:w="2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项</w:t>
            </w:r>
            <w:r>
              <w:rPr>
                <w:rFonts w:hint="eastAsia" w:eastAsia="仿宋" w:cs="Times New Roman"/>
              </w:rPr>
              <w:t>   </w:t>
            </w:r>
            <w:r>
              <w:rPr>
                <w:rFonts w:hint="eastAsia" w:ascii="仿宋" w:hAnsi="仿宋" w:eastAsia="仿宋" w:cs="Times New Roman"/>
              </w:rPr>
              <w:t xml:space="preserve"> 目</w:t>
            </w:r>
          </w:p>
        </w:tc>
        <w:tc>
          <w:tcPr>
            <w:tcW w:w="32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2024年12月31日</w:t>
            </w:r>
          </w:p>
        </w:tc>
        <w:tc>
          <w:tcPr>
            <w:tcW w:w="3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2025年12月31日</w:t>
            </w:r>
          </w:p>
        </w:tc>
      </w:tr>
      <w:tr>
        <w:tblPrEx>
          <w:tblLayout w:type="fixed"/>
          <w:tblCellMar>
            <w:top w:w="15" w:type="dxa"/>
            <w:left w:w="15" w:type="dxa"/>
            <w:bottom w:w="15" w:type="dxa"/>
            <w:right w:w="15" w:type="dxa"/>
          </w:tblCellMar>
        </w:tblPrEx>
        <w:trPr>
          <w:trHeight w:val="300" w:hRule="atLeast"/>
          <w:jc w:val="center"/>
        </w:trPr>
        <w:tc>
          <w:tcPr>
            <w:tcW w:w="2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信用贷款</w:t>
            </w:r>
          </w:p>
        </w:tc>
        <w:tc>
          <w:tcPr>
            <w:tcW w:w="32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52110</w:t>
            </w:r>
          </w:p>
        </w:tc>
        <w:tc>
          <w:tcPr>
            <w:tcW w:w="3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pStyle w:val="10"/>
              <w:spacing w:before="0" w:beforeAutospacing="0" w:after="0" w:afterAutospacing="0" w:line="600" w:lineRule="exact"/>
              <w:ind w:firstLine="480" w:firstLineChars="200"/>
              <w:jc w:val="center"/>
              <w:rPr>
                <w:rFonts w:ascii="仿宋" w:hAnsi="仿宋" w:eastAsia="仿宋"/>
              </w:rPr>
            </w:pPr>
            <w:r>
              <w:rPr>
                <w:rFonts w:ascii="仿宋" w:hAnsi="仿宋" w:eastAsia="仿宋"/>
              </w:rPr>
              <w:t>5665</w:t>
            </w:r>
            <w:r>
              <w:rPr>
                <w:rFonts w:hint="eastAsia" w:ascii="仿宋" w:hAnsi="仿宋" w:eastAsia="仿宋"/>
              </w:rPr>
              <w:t>6</w:t>
            </w:r>
          </w:p>
        </w:tc>
      </w:tr>
      <w:tr>
        <w:tblPrEx>
          <w:tblLayout w:type="fixed"/>
          <w:tblCellMar>
            <w:top w:w="15" w:type="dxa"/>
            <w:left w:w="15" w:type="dxa"/>
            <w:bottom w:w="15" w:type="dxa"/>
            <w:right w:w="15" w:type="dxa"/>
          </w:tblCellMar>
        </w:tblPrEx>
        <w:trPr>
          <w:trHeight w:val="300" w:hRule="atLeast"/>
          <w:jc w:val="center"/>
        </w:trPr>
        <w:tc>
          <w:tcPr>
            <w:tcW w:w="2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保证贷款</w:t>
            </w:r>
          </w:p>
        </w:tc>
        <w:tc>
          <w:tcPr>
            <w:tcW w:w="32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9179</w:t>
            </w:r>
          </w:p>
        </w:tc>
        <w:tc>
          <w:tcPr>
            <w:tcW w:w="3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pStyle w:val="10"/>
              <w:spacing w:before="0" w:beforeAutospacing="0" w:after="0" w:afterAutospacing="0" w:line="600" w:lineRule="exact"/>
              <w:ind w:firstLine="480" w:firstLineChars="200"/>
              <w:jc w:val="center"/>
              <w:rPr>
                <w:rFonts w:ascii="仿宋" w:hAnsi="仿宋" w:eastAsia="仿宋"/>
              </w:rPr>
            </w:pPr>
            <w:r>
              <w:rPr>
                <w:rFonts w:ascii="仿宋" w:hAnsi="仿宋" w:eastAsia="仿宋"/>
              </w:rPr>
              <w:t>699</w:t>
            </w:r>
            <w:r>
              <w:rPr>
                <w:rFonts w:hint="eastAsia" w:ascii="仿宋" w:hAnsi="仿宋" w:eastAsia="仿宋"/>
              </w:rPr>
              <w:t>1</w:t>
            </w:r>
          </w:p>
        </w:tc>
      </w:tr>
      <w:tr>
        <w:tblPrEx>
          <w:tblLayout w:type="fixed"/>
          <w:tblCellMar>
            <w:top w:w="15" w:type="dxa"/>
            <w:left w:w="15" w:type="dxa"/>
            <w:bottom w:w="15" w:type="dxa"/>
            <w:right w:w="15" w:type="dxa"/>
          </w:tblCellMar>
        </w:tblPrEx>
        <w:trPr>
          <w:trHeight w:val="300" w:hRule="atLeast"/>
          <w:jc w:val="center"/>
        </w:trPr>
        <w:tc>
          <w:tcPr>
            <w:tcW w:w="2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抵押贷款</w:t>
            </w:r>
          </w:p>
        </w:tc>
        <w:tc>
          <w:tcPr>
            <w:tcW w:w="32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973</w:t>
            </w:r>
          </w:p>
        </w:tc>
        <w:tc>
          <w:tcPr>
            <w:tcW w:w="3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pStyle w:val="10"/>
              <w:spacing w:before="0" w:beforeAutospacing="0" w:after="0" w:afterAutospacing="0" w:line="600" w:lineRule="exact"/>
              <w:ind w:firstLine="480" w:firstLineChars="200"/>
              <w:jc w:val="center"/>
              <w:rPr>
                <w:rFonts w:ascii="仿宋" w:hAnsi="仿宋" w:eastAsia="仿宋"/>
              </w:rPr>
            </w:pPr>
            <w:r>
              <w:rPr>
                <w:rFonts w:ascii="仿宋" w:hAnsi="仿宋" w:eastAsia="仿宋"/>
              </w:rPr>
              <w:t>819</w:t>
            </w:r>
          </w:p>
        </w:tc>
      </w:tr>
      <w:tr>
        <w:tblPrEx>
          <w:tblLayout w:type="fixed"/>
          <w:tblCellMar>
            <w:top w:w="15" w:type="dxa"/>
            <w:left w:w="15" w:type="dxa"/>
            <w:bottom w:w="15" w:type="dxa"/>
            <w:right w:w="15" w:type="dxa"/>
          </w:tblCellMar>
        </w:tblPrEx>
        <w:trPr>
          <w:trHeight w:val="300" w:hRule="atLeast"/>
          <w:jc w:val="center"/>
        </w:trPr>
        <w:tc>
          <w:tcPr>
            <w:tcW w:w="2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质押贷款</w:t>
            </w:r>
          </w:p>
        </w:tc>
        <w:tc>
          <w:tcPr>
            <w:tcW w:w="32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0</w:t>
            </w:r>
          </w:p>
        </w:tc>
        <w:tc>
          <w:tcPr>
            <w:tcW w:w="3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0</w:t>
            </w:r>
          </w:p>
        </w:tc>
      </w:tr>
      <w:tr>
        <w:tblPrEx>
          <w:tblLayout w:type="fixed"/>
          <w:tblCellMar>
            <w:top w:w="15" w:type="dxa"/>
            <w:left w:w="15" w:type="dxa"/>
            <w:bottom w:w="15" w:type="dxa"/>
            <w:right w:w="15" w:type="dxa"/>
          </w:tblCellMar>
        </w:tblPrEx>
        <w:trPr>
          <w:trHeight w:val="300" w:hRule="atLeast"/>
          <w:jc w:val="center"/>
        </w:trPr>
        <w:tc>
          <w:tcPr>
            <w:tcW w:w="20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贷款总额</w:t>
            </w:r>
          </w:p>
        </w:tc>
        <w:tc>
          <w:tcPr>
            <w:tcW w:w="32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62262</w:t>
            </w:r>
          </w:p>
        </w:tc>
        <w:tc>
          <w:tcPr>
            <w:tcW w:w="32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rPr>
              <w:t>64466</w:t>
            </w:r>
          </w:p>
        </w:tc>
      </w:tr>
    </w:tbl>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3．不良贷款</w:t>
      </w:r>
    </w:p>
    <w:tbl>
      <w:tblPr>
        <w:tblStyle w:val="11"/>
        <w:tblW w:w="8689" w:type="dxa"/>
        <w:jc w:val="center"/>
        <w:tblInd w:w="0" w:type="dxa"/>
        <w:tblLayout w:type="fixed"/>
        <w:tblCellMar>
          <w:top w:w="15" w:type="dxa"/>
          <w:left w:w="15" w:type="dxa"/>
          <w:bottom w:w="15" w:type="dxa"/>
          <w:right w:w="15" w:type="dxa"/>
        </w:tblCellMar>
      </w:tblPr>
      <w:tblGrid>
        <w:gridCol w:w="2039"/>
        <w:gridCol w:w="3300"/>
        <w:gridCol w:w="3350"/>
      </w:tblGrid>
      <w:tr>
        <w:tblPrEx>
          <w:tblLayout w:type="fixed"/>
          <w:tblCellMar>
            <w:top w:w="15" w:type="dxa"/>
            <w:left w:w="15" w:type="dxa"/>
            <w:bottom w:w="15" w:type="dxa"/>
            <w:right w:w="15" w:type="dxa"/>
          </w:tblCellMar>
        </w:tblPrEx>
        <w:trPr>
          <w:trHeight w:val="300" w:hRule="atLeast"/>
          <w:jc w:val="center"/>
        </w:trPr>
        <w:tc>
          <w:tcPr>
            <w:tcW w:w="2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项</w:t>
            </w:r>
            <w:r>
              <w:rPr>
                <w:rFonts w:hint="eastAsia" w:eastAsia="仿宋" w:cs="Times New Roman"/>
              </w:rPr>
              <w:t>   </w:t>
            </w:r>
            <w:r>
              <w:rPr>
                <w:rFonts w:hint="eastAsia" w:ascii="仿宋" w:hAnsi="仿宋" w:eastAsia="仿宋" w:cs="Times New Roman"/>
              </w:rPr>
              <w:t xml:space="preserve"> 目</w:t>
            </w:r>
          </w:p>
        </w:tc>
        <w:tc>
          <w:tcPr>
            <w:tcW w:w="3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2024年12月31日</w:t>
            </w:r>
          </w:p>
        </w:tc>
        <w:tc>
          <w:tcPr>
            <w:tcW w:w="3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2025年12月31日</w:t>
            </w:r>
          </w:p>
        </w:tc>
      </w:tr>
      <w:tr>
        <w:tblPrEx>
          <w:tblLayout w:type="fixed"/>
          <w:tblCellMar>
            <w:top w:w="15" w:type="dxa"/>
            <w:left w:w="15" w:type="dxa"/>
            <w:bottom w:w="15" w:type="dxa"/>
            <w:right w:w="15" w:type="dxa"/>
          </w:tblCellMar>
        </w:tblPrEx>
        <w:trPr>
          <w:trHeight w:val="765" w:hRule="atLeast"/>
          <w:jc w:val="center"/>
        </w:trPr>
        <w:tc>
          <w:tcPr>
            <w:tcW w:w="2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不良贷款</w:t>
            </w:r>
          </w:p>
        </w:tc>
        <w:tc>
          <w:tcPr>
            <w:tcW w:w="3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rPr>
              <w:t>924</w:t>
            </w:r>
          </w:p>
        </w:tc>
        <w:tc>
          <w:tcPr>
            <w:tcW w:w="3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rPr>
              <w:t>1289</w:t>
            </w:r>
          </w:p>
        </w:tc>
      </w:tr>
      <w:tr>
        <w:tblPrEx>
          <w:tblLayout w:type="fixed"/>
          <w:tblCellMar>
            <w:top w:w="15" w:type="dxa"/>
            <w:left w:w="15" w:type="dxa"/>
            <w:bottom w:w="15" w:type="dxa"/>
            <w:right w:w="15" w:type="dxa"/>
          </w:tblCellMar>
        </w:tblPrEx>
        <w:trPr>
          <w:trHeight w:val="880" w:hRule="atLeast"/>
          <w:jc w:val="center"/>
        </w:trPr>
        <w:tc>
          <w:tcPr>
            <w:tcW w:w="2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rPr>
                <w:rFonts w:ascii="仿宋" w:hAnsi="仿宋" w:eastAsia="仿宋"/>
              </w:rPr>
            </w:pPr>
            <w:r>
              <w:rPr>
                <w:rFonts w:hint="eastAsia" w:ascii="仿宋" w:hAnsi="仿宋" w:eastAsia="仿宋" w:cs="Times New Roman"/>
              </w:rPr>
              <w:t>其中：次级贷款</w:t>
            </w:r>
          </w:p>
        </w:tc>
        <w:tc>
          <w:tcPr>
            <w:tcW w:w="3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42</w:t>
            </w:r>
          </w:p>
        </w:tc>
        <w:tc>
          <w:tcPr>
            <w:tcW w:w="3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424</w:t>
            </w:r>
          </w:p>
        </w:tc>
      </w:tr>
      <w:tr>
        <w:tblPrEx>
          <w:tblLayout w:type="fixed"/>
          <w:tblCellMar>
            <w:top w:w="15" w:type="dxa"/>
            <w:left w:w="15" w:type="dxa"/>
            <w:bottom w:w="15" w:type="dxa"/>
            <w:right w:w="15" w:type="dxa"/>
          </w:tblCellMar>
        </w:tblPrEx>
        <w:trPr>
          <w:trHeight w:val="850" w:hRule="atLeast"/>
          <w:jc w:val="center"/>
        </w:trPr>
        <w:tc>
          <w:tcPr>
            <w:tcW w:w="2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rPr>
                <w:rFonts w:ascii="仿宋" w:hAnsi="仿宋" w:eastAsia="仿宋"/>
              </w:rPr>
            </w:pPr>
            <w:r>
              <w:rPr>
                <w:rFonts w:ascii="Times New Roman" w:hAnsi="Times New Roman" w:eastAsia="仿宋" w:cs="Times New Roman"/>
              </w:rPr>
              <w:t>      </w:t>
            </w:r>
            <w:r>
              <w:rPr>
                <w:rFonts w:hint="eastAsia" w:ascii="仿宋" w:hAnsi="仿宋" w:eastAsia="仿宋" w:cs="Times New Roman"/>
              </w:rPr>
              <w:t>可疑贷款</w:t>
            </w:r>
          </w:p>
        </w:tc>
        <w:tc>
          <w:tcPr>
            <w:tcW w:w="3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rPr>
              <w:t>882</w:t>
            </w:r>
          </w:p>
        </w:tc>
        <w:tc>
          <w:tcPr>
            <w:tcW w:w="3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rPr>
              <w:t>0</w:t>
            </w:r>
          </w:p>
        </w:tc>
      </w:tr>
      <w:tr>
        <w:tblPrEx>
          <w:tblLayout w:type="fixed"/>
          <w:tblCellMar>
            <w:top w:w="15" w:type="dxa"/>
            <w:left w:w="15" w:type="dxa"/>
            <w:bottom w:w="15" w:type="dxa"/>
            <w:right w:w="15" w:type="dxa"/>
          </w:tblCellMar>
        </w:tblPrEx>
        <w:trPr>
          <w:trHeight w:val="629" w:hRule="atLeast"/>
          <w:jc w:val="center"/>
        </w:trPr>
        <w:tc>
          <w:tcPr>
            <w:tcW w:w="203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损失贷款</w:t>
            </w:r>
          </w:p>
        </w:tc>
        <w:tc>
          <w:tcPr>
            <w:tcW w:w="33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0</w:t>
            </w:r>
          </w:p>
        </w:tc>
        <w:tc>
          <w:tcPr>
            <w:tcW w:w="33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bottom"/>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rPr>
              <w:t>865</w:t>
            </w:r>
          </w:p>
        </w:tc>
      </w:tr>
    </w:tbl>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4．贷款损失准备</w:t>
      </w:r>
    </w:p>
    <w:tbl>
      <w:tblPr>
        <w:tblStyle w:val="11"/>
        <w:tblW w:w="8522" w:type="dxa"/>
        <w:jc w:val="center"/>
        <w:tblInd w:w="0" w:type="dxa"/>
        <w:tblLayout w:type="fixed"/>
        <w:tblCellMar>
          <w:top w:w="15" w:type="dxa"/>
          <w:left w:w="15" w:type="dxa"/>
          <w:bottom w:w="15" w:type="dxa"/>
          <w:right w:w="15" w:type="dxa"/>
        </w:tblCellMar>
      </w:tblPr>
      <w:tblGrid>
        <w:gridCol w:w="2755"/>
        <w:gridCol w:w="2812"/>
        <w:gridCol w:w="2955"/>
      </w:tblGrid>
      <w:tr>
        <w:tblPrEx>
          <w:tblLayout w:type="fixed"/>
          <w:tblCellMar>
            <w:top w:w="15" w:type="dxa"/>
            <w:left w:w="15" w:type="dxa"/>
            <w:bottom w:w="15" w:type="dxa"/>
            <w:right w:w="15" w:type="dxa"/>
          </w:tblCellMar>
        </w:tblPrEx>
        <w:trPr>
          <w:trHeight w:val="300" w:hRule="atLeast"/>
          <w:jc w:val="center"/>
        </w:trPr>
        <w:tc>
          <w:tcPr>
            <w:tcW w:w="27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项</w:t>
            </w:r>
            <w:r>
              <w:rPr>
                <w:rFonts w:hint="eastAsia" w:eastAsia="仿宋" w:cs="Times New Roman"/>
              </w:rPr>
              <w:t>   </w:t>
            </w:r>
            <w:r>
              <w:rPr>
                <w:rFonts w:hint="eastAsia" w:ascii="仿宋" w:hAnsi="仿宋" w:eastAsia="仿宋" w:cs="Times New Roman"/>
              </w:rPr>
              <w:t xml:space="preserve"> 目</w:t>
            </w:r>
          </w:p>
        </w:tc>
        <w:tc>
          <w:tcPr>
            <w:tcW w:w="281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2024年12月31日</w:t>
            </w:r>
          </w:p>
        </w:tc>
        <w:tc>
          <w:tcPr>
            <w:tcW w:w="29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2025年12月31日</w:t>
            </w:r>
          </w:p>
        </w:tc>
      </w:tr>
      <w:tr>
        <w:tblPrEx>
          <w:tblLayout w:type="fixed"/>
          <w:tblCellMar>
            <w:top w:w="15" w:type="dxa"/>
            <w:left w:w="15" w:type="dxa"/>
            <w:bottom w:w="15" w:type="dxa"/>
            <w:right w:w="15" w:type="dxa"/>
          </w:tblCellMar>
        </w:tblPrEx>
        <w:trPr>
          <w:trHeight w:val="300" w:hRule="atLeast"/>
          <w:jc w:val="center"/>
        </w:trPr>
        <w:tc>
          <w:tcPr>
            <w:tcW w:w="27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年初余额</w:t>
            </w:r>
          </w:p>
        </w:tc>
        <w:tc>
          <w:tcPr>
            <w:tcW w:w="281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2000</w:t>
            </w:r>
          </w:p>
        </w:tc>
        <w:tc>
          <w:tcPr>
            <w:tcW w:w="29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2210</w:t>
            </w:r>
          </w:p>
        </w:tc>
      </w:tr>
      <w:tr>
        <w:tblPrEx>
          <w:tblLayout w:type="fixed"/>
          <w:tblCellMar>
            <w:top w:w="15" w:type="dxa"/>
            <w:left w:w="15" w:type="dxa"/>
            <w:bottom w:w="15" w:type="dxa"/>
            <w:right w:w="15" w:type="dxa"/>
          </w:tblCellMar>
        </w:tblPrEx>
        <w:trPr>
          <w:trHeight w:val="336" w:hRule="atLeast"/>
          <w:jc w:val="center"/>
        </w:trPr>
        <w:tc>
          <w:tcPr>
            <w:tcW w:w="27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 xml:space="preserve">    本年计提</w:t>
            </w:r>
          </w:p>
        </w:tc>
        <w:tc>
          <w:tcPr>
            <w:tcW w:w="281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0</w:t>
            </w:r>
          </w:p>
        </w:tc>
        <w:tc>
          <w:tcPr>
            <w:tcW w:w="29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210</w:t>
            </w:r>
          </w:p>
        </w:tc>
      </w:tr>
      <w:tr>
        <w:tblPrEx>
          <w:tblLayout w:type="fixed"/>
          <w:tblCellMar>
            <w:top w:w="15" w:type="dxa"/>
            <w:left w:w="15" w:type="dxa"/>
            <w:bottom w:w="15" w:type="dxa"/>
            <w:right w:w="15" w:type="dxa"/>
          </w:tblCellMar>
        </w:tblPrEx>
        <w:trPr>
          <w:trHeight w:val="300" w:hRule="atLeast"/>
          <w:jc w:val="center"/>
        </w:trPr>
        <w:tc>
          <w:tcPr>
            <w:tcW w:w="27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本年核销</w:t>
            </w:r>
          </w:p>
        </w:tc>
        <w:tc>
          <w:tcPr>
            <w:tcW w:w="281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cs="Times New Roman"/>
              </w:rPr>
              <w:t>0</w:t>
            </w:r>
          </w:p>
        </w:tc>
        <w:tc>
          <w:tcPr>
            <w:tcW w:w="2955" w:type="dxa"/>
            <w:tcBorders>
              <w:top w:val="nil"/>
              <w:left w:val="single" w:color="auto" w:sz="4" w:space="0"/>
              <w:bottom w:val="single" w:color="auto" w:sz="8" w:space="0"/>
              <w:right w:val="single" w:color="000000" w:sz="8"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cs="Times New Roman"/>
              </w:rPr>
              <w:t>0</w:t>
            </w:r>
          </w:p>
        </w:tc>
      </w:tr>
      <w:tr>
        <w:tblPrEx>
          <w:tblLayout w:type="fixed"/>
          <w:tblCellMar>
            <w:top w:w="15" w:type="dxa"/>
            <w:left w:w="15" w:type="dxa"/>
            <w:bottom w:w="15" w:type="dxa"/>
            <w:right w:w="15" w:type="dxa"/>
          </w:tblCellMar>
        </w:tblPrEx>
        <w:trPr>
          <w:trHeight w:val="300" w:hRule="atLeast"/>
          <w:jc w:val="center"/>
        </w:trPr>
        <w:tc>
          <w:tcPr>
            <w:tcW w:w="27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本年转回</w:t>
            </w:r>
          </w:p>
        </w:tc>
        <w:tc>
          <w:tcPr>
            <w:tcW w:w="281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cs="Times New Roman"/>
              </w:rPr>
              <w:t>0</w:t>
            </w:r>
          </w:p>
        </w:tc>
        <w:tc>
          <w:tcPr>
            <w:tcW w:w="2955" w:type="dxa"/>
            <w:tcBorders>
              <w:top w:val="nil"/>
              <w:left w:val="single" w:color="auto" w:sz="4" w:space="0"/>
              <w:bottom w:val="single" w:color="auto" w:sz="8" w:space="0"/>
              <w:right w:val="single" w:color="000000" w:sz="8"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cs="Times New Roman"/>
              </w:rPr>
              <w:t>0</w:t>
            </w:r>
          </w:p>
        </w:tc>
      </w:tr>
      <w:tr>
        <w:tblPrEx>
          <w:tblLayout w:type="fixed"/>
          <w:tblCellMar>
            <w:top w:w="15" w:type="dxa"/>
            <w:left w:w="15" w:type="dxa"/>
            <w:bottom w:w="15" w:type="dxa"/>
            <w:right w:w="15" w:type="dxa"/>
          </w:tblCellMar>
        </w:tblPrEx>
        <w:trPr>
          <w:trHeight w:val="300" w:hRule="atLeast"/>
          <w:jc w:val="center"/>
        </w:trPr>
        <w:tc>
          <w:tcPr>
            <w:tcW w:w="27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年末余额</w:t>
            </w:r>
          </w:p>
        </w:tc>
        <w:tc>
          <w:tcPr>
            <w:tcW w:w="2812"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2000</w:t>
            </w:r>
          </w:p>
        </w:tc>
        <w:tc>
          <w:tcPr>
            <w:tcW w:w="2955" w:type="dxa"/>
            <w:tcBorders>
              <w:top w:val="nil"/>
              <w:left w:val="single" w:color="auto" w:sz="4" w:space="0"/>
              <w:bottom w:val="single" w:color="auto" w:sz="8" w:space="0"/>
              <w:right w:val="single" w:color="000000" w:sz="8"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2210</w:t>
            </w:r>
          </w:p>
        </w:tc>
      </w:tr>
    </w:tbl>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5．应收、应付利息</w:t>
      </w:r>
    </w:p>
    <w:tbl>
      <w:tblPr>
        <w:tblStyle w:val="11"/>
        <w:tblW w:w="8837" w:type="dxa"/>
        <w:jc w:val="center"/>
        <w:tblInd w:w="0" w:type="dxa"/>
        <w:tblLayout w:type="fixed"/>
        <w:tblCellMar>
          <w:top w:w="15" w:type="dxa"/>
          <w:left w:w="15" w:type="dxa"/>
          <w:bottom w:w="15" w:type="dxa"/>
          <w:right w:w="15" w:type="dxa"/>
        </w:tblCellMar>
      </w:tblPr>
      <w:tblGrid>
        <w:gridCol w:w="2155"/>
        <w:gridCol w:w="1565"/>
        <w:gridCol w:w="1565"/>
        <w:gridCol w:w="1565"/>
        <w:gridCol w:w="1987"/>
      </w:tblGrid>
      <w:tr>
        <w:tblPrEx>
          <w:tblLayout w:type="fixed"/>
          <w:tblCellMar>
            <w:top w:w="15" w:type="dxa"/>
            <w:left w:w="15" w:type="dxa"/>
            <w:bottom w:w="15" w:type="dxa"/>
            <w:right w:w="15" w:type="dxa"/>
          </w:tblCellMar>
        </w:tblPrEx>
        <w:trPr>
          <w:trHeight w:val="244" w:hRule="atLeast"/>
          <w:jc w:val="center"/>
        </w:trPr>
        <w:tc>
          <w:tcPr>
            <w:tcW w:w="21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rPr>
                <w:rFonts w:ascii="仿宋" w:hAnsi="仿宋" w:eastAsia="仿宋"/>
              </w:rPr>
            </w:pPr>
            <w:r>
              <w:rPr>
                <w:rFonts w:hint="eastAsia" w:ascii="仿宋" w:hAnsi="仿宋" w:eastAsia="仿宋" w:cs="Times New Roman"/>
              </w:rPr>
              <w:t>项</w:t>
            </w:r>
            <w:r>
              <w:rPr>
                <w:rFonts w:hint="eastAsia" w:eastAsia="仿宋" w:cs="Times New Roman"/>
              </w:rPr>
              <w:t>   </w:t>
            </w:r>
            <w:r>
              <w:rPr>
                <w:rFonts w:hint="eastAsia" w:ascii="仿宋" w:hAnsi="仿宋" w:eastAsia="仿宋" w:cs="Times New Roman"/>
              </w:rPr>
              <w:t>目</w:t>
            </w:r>
          </w:p>
        </w:tc>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both"/>
              <w:rPr>
                <w:rFonts w:ascii="仿宋" w:hAnsi="仿宋" w:eastAsia="仿宋"/>
              </w:rPr>
            </w:pPr>
            <w:r>
              <w:rPr>
                <w:rFonts w:hint="eastAsia" w:ascii="仿宋" w:hAnsi="仿宋" w:eastAsia="仿宋" w:cs="Times New Roman"/>
              </w:rPr>
              <w:t>年初余额</w:t>
            </w:r>
          </w:p>
        </w:tc>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both"/>
              <w:rPr>
                <w:rFonts w:ascii="仿宋" w:hAnsi="仿宋" w:eastAsia="仿宋"/>
              </w:rPr>
            </w:pPr>
            <w:r>
              <w:rPr>
                <w:rFonts w:hint="eastAsia" w:ascii="仿宋" w:hAnsi="仿宋" w:eastAsia="仿宋" w:cs="Times New Roman"/>
              </w:rPr>
              <w:t>本期增加</w:t>
            </w:r>
          </w:p>
        </w:tc>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both"/>
              <w:rPr>
                <w:rFonts w:ascii="仿宋" w:hAnsi="仿宋" w:eastAsia="仿宋"/>
              </w:rPr>
            </w:pPr>
            <w:r>
              <w:rPr>
                <w:rFonts w:hint="eastAsia" w:ascii="仿宋" w:hAnsi="仿宋" w:eastAsia="仿宋" w:cs="Times New Roman"/>
              </w:rPr>
              <w:t>本期减少</w:t>
            </w:r>
          </w:p>
        </w:tc>
        <w:tc>
          <w:tcPr>
            <w:tcW w:w="198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both"/>
              <w:rPr>
                <w:rFonts w:ascii="仿宋" w:hAnsi="仿宋" w:eastAsia="仿宋"/>
              </w:rPr>
            </w:pPr>
            <w:r>
              <w:rPr>
                <w:rFonts w:hint="eastAsia" w:ascii="仿宋" w:hAnsi="仿宋" w:eastAsia="仿宋" w:cs="Times New Roman"/>
              </w:rPr>
              <w:t>年未余额</w:t>
            </w:r>
          </w:p>
        </w:tc>
      </w:tr>
      <w:tr>
        <w:tblPrEx>
          <w:tblLayout w:type="fixed"/>
          <w:tblCellMar>
            <w:top w:w="15" w:type="dxa"/>
            <w:left w:w="15" w:type="dxa"/>
            <w:bottom w:w="15" w:type="dxa"/>
            <w:right w:w="15" w:type="dxa"/>
          </w:tblCellMar>
        </w:tblPrEx>
        <w:trPr>
          <w:trHeight w:val="244" w:hRule="atLeast"/>
          <w:jc w:val="center"/>
        </w:trPr>
        <w:tc>
          <w:tcPr>
            <w:tcW w:w="21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应收利息合计</w:t>
            </w:r>
          </w:p>
        </w:tc>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51.35</w:t>
            </w:r>
          </w:p>
        </w:tc>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557.17</w:t>
            </w:r>
          </w:p>
        </w:tc>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602.20</w:t>
            </w:r>
          </w:p>
        </w:tc>
        <w:tc>
          <w:tcPr>
            <w:tcW w:w="198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6.32</w:t>
            </w:r>
          </w:p>
        </w:tc>
      </w:tr>
      <w:tr>
        <w:tblPrEx>
          <w:tblLayout w:type="fixed"/>
          <w:tblCellMar>
            <w:top w:w="15" w:type="dxa"/>
            <w:left w:w="15" w:type="dxa"/>
            <w:bottom w:w="15" w:type="dxa"/>
            <w:right w:w="15" w:type="dxa"/>
          </w:tblCellMar>
        </w:tblPrEx>
        <w:trPr>
          <w:trHeight w:val="244" w:hRule="atLeast"/>
          <w:jc w:val="center"/>
        </w:trPr>
        <w:tc>
          <w:tcPr>
            <w:tcW w:w="215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应付利息合计</w:t>
            </w:r>
          </w:p>
        </w:tc>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4484.94</w:t>
            </w:r>
          </w:p>
        </w:tc>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2708.69</w:t>
            </w:r>
          </w:p>
        </w:tc>
        <w:tc>
          <w:tcPr>
            <w:tcW w:w="1565"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2604.07</w:t>
            </w:r>
          </w:p>
        </w:tc>
        <w:tc>
          <w:tcPr>
            <w:tcW w:w="1987" w:type="dxa"/>
            <w:tcBorders>
              <w:top w:val="single" w:color="auto" w:sz="4" w:space="0"/>
              <w:left w:val="single" w:color="auto" w:sz="4" w:space="0"/>
              <w:bottom w:val="single" w:color="auto" w:sz="4" w:space="0"/>
              <w:right w:val="single" w:color="auto" w:sz="4" w:space="0"/>
            </w:tcBorders>
            <w:shd w:val="clear" w:color="auto" w:fill="FFFFFF"/>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rPr>
              <w:t>4589.56</w:t>
            </w:r>
          </w:p>
        </w:tc>
      </w:tr>
    </w:tbl>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应付利息计提方法：按企业会计准则进行计提。</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6．投资情况</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报告期内，本行没有对外投资情况，余额为0。</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7．资本充足状况</w:t>
      </w:r>
    </w:p>
    <w:tbl>
      <w:tblPr>
        <w:tblStyle w:val="11"/>
        <w:tblW w:w="9668" w:type="dxa"/>
        <w:tblInd w:w="93" w:type="dxa"/>
        <w:tblLayout w:type="fixed"/>
        <w:tblCellMar>
          <w:top w:w="0" w:type="dxa"/>
          <w:left w:w="108" w:type="dxa"/>
          <w:bottom w:w="0" w:type="dxa"/>
          <w:right w:w="108" w:type="dxa"/>
        </w:tblCellMar>
      </w:tblPr>
      <w:tblGrid>
        <w:gridCol w:w="6193"/>
        <w:gridCol w:w="3475"/>
      </w:tblGrid>
      <w:tr>
        <w:tblPrEx>
          <w:tblLayout w:type="fixed"/>
          <w:tblCellMar>
            <w:top w:w="0" w:type="dxa"/>
            <w:left w:w="108" w:type="dxa"/>
            <w:bottom w:w="0" w:type="dxa"/>
            <w:right w:w="108" w:type="dxa"/>
          </w:tblCellMar>
        </w:tblPrEx>
        <w:trPr>
          <w:trHeight w:val="416" w:hRule="atLeast"/>
        </w:trPr>
        <w:tc>
          <w:tcPr>
            <w:tcW w:w="6193" w:type="dxa"/>
            <w:tcBorders>
              <w:top w:val="single" w:color="auto" w:sz="8" w:space="0"/>
              <w:left w:val="single" w:color="auto" w:sz="8" w:space="0"/>
              <w:bottom w:val="single" w:color="auto" w:sz="8" w:space="0"/>
              <w:right w:val="single" w:color="auto" w:sz="8" w:space="0"/>
            </w:tcBorders>
            <w:shd w:val="clear" w:color="auto" w:fill="auto"/>
            <w:vAlign w:val="center"/>
          </w:tcPr>
          <w:p>
            <w:pPr>
              <w:adjustRightInd/>
              <w:snapToGrid/>
              <w:spacing w:after="0"/>
              <w:jc w:val="center"/>
              <w:rPr>
                <w:rFonts w:ascii="仿宋" w:hAnsi="仿宋" w:eastAsia="仿宋" w:cs="Arial"/>
                <w:color w:val="000000"/>
                <w:sz w:val="24"/>
                <w:szCs w:val="24"/>
              </w:rPr>
            </w:pPr>
            <w:r>
              <w:rPr>
                <w:rFonts w:hint="eastAsia" w:ascii="仿宋" w:hAnsi="仿宋" w:eastAsia="仿宋" w:cs="Arial"/>
                <w:color w:val="000000"/>
                <w:sz w:val="24"/>
                <w:szCs w:val="24"/>
              </w:rPr>
              <w:t>项目/结构</w:t>
            </w:r>
          </w:p>
        </w:tc>
        <w:tc>
          <w:tcPr>
            <w:tcW w:w="3475" w:type="dxa"/>
            <w:tcBorders>
              <w:top w:val="single" w:color="auto" w:sz="8" w:space="0"/>
              <w:left w:val="nil"/>
              <w:bottom w:val="single" w:color="auto" w:sz="8" w:space="0"/>
              <w:right w:val="single" w:color="auto" w:sz="8" w:space="0"/>
            </w:tcBorders>
            <w:shd w:val="clear" w:color="auto" w:fill="auto"/>
            <w:vAlign w:val="center"/>
          </w:tcPr>
          <w:p>
            <w:pPr>
              <w:adjustRightInd/>
              <w:snapToGrid/>
              <w:spacing w:after="0"/>
              <w:jc w:val="center"/>
              <w:rPr>
                <w:rFonts w:ascii="仿宋" w:hAnsi="仿宋" w:eastAsia="仿宋" w:cs="Arial"/>
                <w:color w:val="000000"/>
                <w:sz w:val="24"/>
                <w:szCs w:val="24"/>
              </w:rPr>
            </w:pPr>
            <w:r>
              <w:rPr>
                <w:rFonts w:hint="eastAsia" w:ascii="仿宋" w:hAnsi="仿宋" w:eastAsia="仿宋" w:cs="Arial"/>
                <w:color w:val="000000"/>
                <w:sz w:val="24"/>
                <w:szCs w:val="24"/>
              </w:rPr>
              <w:t>余额</w:t>
            </w:r>
          </w:p>
        </w:tc>
      </w:tr>
      <w:tr>
        <w:tblPrEx>
          <w:tblLayout w:type="fixed"/>
          <w:tblCellMar>
            <w:top w:w="0" w:type="dxa"/>
            <w:left w:w="108" w:type="dxa"/>
            <w:bottom w:w="0" w:type="dxa"/>
            <w:right w:w="108" w:type="dxa"/>
          </w:tblCellMar>
        </w:tblPrEx>
        <w:trPr>
          <w:trHeight w:val="357" w:hRule="atLeast"/>
        </w:trPr>
        <w:tc>
          <w:tcPr>
            <w:tcW w:w="6193" w:type="dxa"/>
            <w:tcBorders>
              <w:top w:val="nil"/>
              <w:left w:val="single" w:color="auto" w:sz="8" w:space="0"/>
              <w:bottom w:val="single" w:color="auto" w:sz="8" w:space="0"/>
              <w:right w:val="single" w:color="auto" w:sz="8" w:space="0"/>
            </w:tcBorders>
            <w:shd w:val="clear" w:color="000000" w:fill="FFFFFF"/>
            <w:vAlign w:val="center"/>
          </w:tcPr>
          <w:p>
            <w:pPr>
              <w:adjustRightInd/>
              <w:snapToGrid/>
              <w:spacing w:after="0"/>
              <w:rPr>
                <w:rFonts w:ascii="仿宋" w:hAnsi="仿宋" w:eastAsia="仿宋" w:cs="Arial"/>
                <w:color w:val="000000"/>
                <w:sz w:val="24"/>
                <w:szCs w:val="24"/>
              </w:rPr>
            </w:pPr>
            <w:r>
              <w:rPr>
                <w:rFonts w:hint="eastAsia" w:ascii="仿宋" w:hAnsi="仿宋" w:eastAsia="仿宋" w:cs="Arial"/>
                <w:color w:val="000000"/>
                <w:sz w:val="24"/>
                <w:szCs w:val="24"/>
              </w:rPr>
              <w:t>一、资本净额</w:t>
            </w:r>
          </w:p>
        </w:tc>
        <w:tc>
          <w:tcPr>
            <w:tcW w:w="3475" w:type="dxa"/>
            <w:tcBorders>
              <w:top w:val="nil"/>
              <w:left w:val="nil"/>
              <w:bottom w:val="single" w:color="auto" w:sz="8" w:space="0"/>
              <w:right w:val="single" w:color="auto" w:sz="8" w:space="0"/>
            </w:tcBorders>
            <w:shd w:val="clear" w:color="000000" w:fill="FFFFFF"/>
            <w:vAlign w:val="center"/>
          </w:tcPr>
          <w:p>
            <w:pPr>
              <w:adjustRightInd/>
              <w:snapToGrid/>
              <w:spacing w:after="0"/>
              <w:jc w:val="center"/>
              <w:rPr>
                <w:rFonts w:ascii="仿宋" w:hAnsi="仿宋" w:eastAsia="仿宋" w:cs="Arial"/>
                <w:color w:val="000000"/>
                <w:sz w:val="24"/>
                <w:szCs w:val="24"/>
              </w:rPr>
            </w:pPr>
            <w:r>
              <w:rPr>
                <w:rFonts w:hint="eastAsia" w:ascii="仿宋" w:hAnsi="仿宋" w:eastAsia="仿宋" w:cs="Arial"/>
                <w:color w:val="000000"/>
                <w:sz w:val="24"/>
                <w:szCs w:val="24"/>
              </w:rPr>
              <w:t>8778.16</w:t>
            </w:r>
          </w:p>
        </w:tc>
      </w:tr>
      <w:tr>
        <w:tblPrEx>
          <w:tblLayout w:type="fixed"/>
          <w:tblCellMar>
            <w:top w:w="0" w:type="dxa"/>
            <w:left w:w="108" w:type="dxa"/>
            <w:bottom w:w="0" w:type="dxa"/>
            <w:right w:w="108" w:type="dxa"/>
          </w:tblCellMar>
        </w:tblPrEx>
        <w:trPr>
          <w:trHeight w:val="401" w:hRule="atLeast"/>
        </w:trPr>
        <w:tc>
          <w:tcPr>
            <w:tcW w:w="6193" w:type="dxa"/>
            <w:tcBorders>
              <w:top w:val="nil"/>
              <w:left w:val="single" w:color="auto" w:sz="8" w:space="0"/>
              <w:bottom w:val="single" w:color="auto" w:sz="8" w:space="0"/>
              <w:right w:val="single" w:color="auto" w:sz="8" w:space="0"/>
            </w:tcBorders>
            <w:shd w:val="clear" w:color="000000" w:fill="FFFFFF"/>
            <w:vAlign w:val="center"/>
          </w:tcPr>
          <w:p>
            <w:pPr>
              <w:adjustRightInd/>
              <w:snapToGrid/>
              <w:spacing w:after="0"/>
              <w:rPr>
                <w:rFonts w:ascii="仿宋" w:hAnsi="仿宋" w:eastAsia="仿宋" w:cs="Arial"/>
                <w:color w:val="000000"/>
                <w:sz w:val="24"/>
                <w:szCs w:val="24"/>
              </w:rPr>
            </w:pPr>
            <w:r>
              <w:rPr>
                <w:rFonts w:hint="eastAsia" w:ascii="仿宋" w:hAnsi="仿宋" w:eastAsia="仿宋" w:cs="Arial"/>
                <w:color w:val="000000"/>
                <w:sz w:val="24"/>
                <w:szCs w:val="24"/>
              </w:rPr>
              <w:t>1、一级资本净额</w:t>
            </w:r>
          </w:p>
        </w:tc>
        <w:tc>
          <w:tcPr>
            <w:tcW w:w="3475" w:type="dxa"/>
            <w:tcBorders>
              <w:top w:val="nil"/>
              <w:left w:val="nil"/>
              <w:bottom w:val="single" w:color="auto" w:sz="8" w:space="0"/>
              <w:right w:val="single" w:color="auto" w:sz="8" w:space="0"/>
            </w:tcBorders>
            <w:shd w:val="clear" w:color="000000" w:fill="FFFFFF"/>
            <w:vAlign w:val="center"/>
          </w:tcPr>
          <w:p>
            <w:pPr>
              <w:adjustRightInd/>
              <w:snapToGrid/>
              <w:spacing w:after="0"/>
              <w:jc w:val="center"/>
              <w:rPr>
                <w:rFonts w:ascii="仿宋" w:hAnsi="仿宋" w:eastAsia="仿宋" w:cs="Arial"/>
                <w:color w:val="000000"/>
                <w:sz w:val="24"/>
                <w:szCs w:val="24"/>
              </w:rPr>
            </w:pPr>
            <w:r>
              <w:rPr>
                <w:rFonts w:hint="eastAsia" w:ascii="仿宋" w:hAnsi="仿宋" w:eastAsia="仿宋" w:cs="Arial"/>
                <w:color w:val="000000"/>
                <w:sz w:val="24"/>
                <w:szCs w:val="24"/>
              </w:rPr>
              <w:t>7594.36</w:t>
            </w:r>
          </w:p>
        </w:tc>
      </w:tr>
      <w:tr>
        <w:tblPrEx>
          <w:tblLayout w:type="fixed"/>
          <w:tblCellMar>
            <w:top w:w="0" w:type="dxa"/>
            <w:left w:w="108" w:type="dxa"/>
            <w:bottom w:w="0" w:type="dxa"/>
            <w:right w:w="108" w:type="dxa"/>
          </w:tblCellMar>
        </w:tblPrEx>
        <w:trPr>
          <w:trHeight w:val="342" w:hRule="atLeast"/>
        </w:trPr>
        <w:tc>
          <w:tcPr>
            <w:tcW w:w="6193" w:type="dxa"/>
            <w:tcBorders>
              <w:top w:val="single" w:color="auto" w:sz="4" w:space="0"/>
              <w:left w:val="single" w:color="auto" w:sz="8" w:space="0"/>
              <w:bottom w:val="single" w:color="auto" w:sz="8" w:space="0"/>
              <w:right w:val="single" w:color="auto" w:sz="8" w:space="0"/>
            </w:tcBorders>
            <w:shd w:val="clear" w:color="000000" w:fill="FFFFFF"/>
            <w:vAlign w:val="center"/>
          </w:tcPr>
          <w:p>
            <w:pPr>
              <w:adjustRightInd/>
              <w:snapToGrid/>
              <w:spacing w:after="0"/>
              <w:rPr>
                <w:rFonts w:ascii="仿宋" w:hAnsi="仿宋" w:eastAsia="仿宋" w:cs="Arial"/>
                <w:color w:val="000000"/>
                <w:sz w:val="24"/>
                <w:szCs w:val="24"/>
              </w:rPr>
            </w:pPr>
            <w:r>
              <w:rPr>
                <w:rFonts w:hint="eastAsia" w:ascii="仿宋" w:hAnsi="仿宋" w:eastAsia="仿宋" w:cs="Arial"/>
                <w:color w:val="000000"/>
                <w:sz w:val="24"/>
                <w:szCs w:val="24"/>
              </w:rPr>
              <w:t>2、二级资本</w:t>
            </w:r>
          </w:p>
        </w:tc>
        <w:tc>
          <w:tcPr>
            <w:tcW w:w="3475" w:type="dxa"/>
            <w:tcBorders>
              <w:top w:val="single" w:color="auto" w:sz="4" w:space="0"/>
              <w:left w:val="nil"/>
              <w:bottom w:val="single" w:color="auto" w:sz="8" w:space="0"/>
              <w:right w:val="single" w:color="auto" w:sz="8" w:space="0"/>
            </w:tcBorders>
            <w:shd w:val="clear" w:color="000000" w:fill="FFFFFF"/>
            <w:vAlign w:val="center"/>
          </w:tcPr>
          <w:p>
            <w:pPr>
              <w:adjustRightInd/>
              <w:snapToGrid/>
              <w:spacing w:after="0"/>
              <w:jc w:val="center"/>
              <w:rPr>
                <w:rFonts w:ascii="仿宋" w:hAnsi="仿宋" w:eastAsia="仿宋" w:cs="Arial"/>
                <w:color w:val="000000"/>
                <w:sz w:val="24"/>
                <w:szCs w:val="24"/>
              </w:rPr>
            </w:pPr>
            <w:r>
              <w:rPr>
                <w:rFonts w:hint="eastAsia" w:ascii="仿宋" w:hAnsi="仿宋" w:eastAsia="仿宋" w:cs="Arial"/>
                <w:color w:val="000000"/>
                <w:sz w:val="24"/>
                <w:szCs w:val="24"/>
              </w:rPr>
              <w:t>0</w:t>
            </w:r>
          </w:p>
        </w:tc>
      </w:tr>
      <w:tr>
        <w:tblPrEx>
          <w:tblLayout w:type="fixed"/>
          <w:tblCellMar>
            <w:top w:w="0" w:type="dxa"/>
            <w:left w:w="108" w:type="dxa"/>
            <w:bottom w:w="0" w:type="dxa"/>
            <w:right w:w="108" w:type="dxa"/>
          </w:tblCellMar>
        </w:tblPrEx>
        <w:trPr>
          <w:trHeight w:val="624" w:hRule="atLeast"/>
        </w:trPr>
        <w:tc>
          <w:tcPr>
            <w:tcW w:w="6193" w:type="dxa"/>
            <w:tcBorders>
              <w:top w:val="nil"/>
              <w:left w:val="single" w:color="auto" w:sz="8" w:space="0"/>
              <w:bottom w:val="single" w:color="auto" w:sz="8" w:space="0"/>
              <w:right w:val="single" w:color="auto" w:sz="8" w:space="0"/>
            </w:tcBorders>
            <w:shd w:val="clear" w:color="000000" w:fill="FFFFFF"/>
            <w:vAlign w:val="center"/>
          </w:tcPr>
          <w:p>
            <w:pPr>
              <w:adjustRightInd/>
              <w:snapToGrid/>
              <w:spacing w:after="0"/>
              <w:jc w:val="both"/>
              <w:rPr>
                <w:rFonts w:ascii="仿宋" w:hAnsi="仿宋" w:eastAsia="仿宋" w:cs="Arial"/>
                <w:color w:val="000000"/>
                <w:sz w:val="24"/>
                <w:szCs w:val="24"/>
              </w:rPr>
            </w:pPr>
            <w:r>
              <w:rPr>
                <w:rFonts w:hint="eastAsia" w:ascii="仿宋" w:hAnsi="仿宋" w:eastAsia="仿宋" w:cs="Arial"/>
                <w:color w:val="000000"/>
                <w:sz w:val="24"/>
                <w:szCs w:val="24"/>
              </w:rPr>
              <w:t>二、风险资产总额（应用资本底线及校准后的风险加权资产合计）</w:t>
            </w:r>
          </w:p>
        </w:tc>
        <w:tc>
          <w:tcPr>
            <w:tcW w:w="3475" w:type="dxa"/>
            <w:tcBorders>
              <w:top w:val="nil"/>
              <w:left w:val="nil"/>
              <w:bottom w:val="single" w:color="auto" w:sz="8" w:space="0"/>
              <w:right w:val="single" w:color="auto" w:sz="8" w:space="0"/>
            </w:tcBorders>
            <w:shd w:val="clear" w:color="000000" w:fill="FFFFFF"/>
            <w:vAlign w:val="center"/>
          </w:tcPr>
          <w:p>
            <w:pPr>
              <w:adjustRightInd/>
              <w:snapToGrid/>
              <w:spacing w:after="0"/>
              <w:jc w:val="center"/>
              <w:rPr>
                <w:rFonts w:ascii="仿宋" w:hAnsi="仿宋" w:eastAsia="仿宋" w:cs="Arial"/>
                <w:color w:val="000000"/>
                <w:sz w:val="24"/>
                <w:szCs w:val="24"/>
              </w:rPr>
            </w:pPr>
            <w:r>
              <w:rPr>
                <w:rFonts w:hint="eastAsia" w:ascii="仿宋" w:hAnsi="仿宋" w:eastAsia="仿宋" w:cs="Arial"/>
                <w:color w:val="000000"/>
                <w:sz w:val="24"/>
                <w:szCs w:val="24"/>
              </w:rPr>
              <w:t>66314.76</w:t>
            </w:r>
          </w:p>
        </w:tc>
      </w:tr>
      <w:tr>
        <w:tblPrEx>
          <w:tblLayout w:type="fixed"/>
          <w:tblCellMar>
            <w:top w:w="0" w:type="dxa"/>
            <w:left w:w="108" w:type="dxa"/>
            <w:bottom w:w="0" w:type="dxa"/>
            <w:right w:w="108" w:type="dxa"/>
          </w:tblCellMar>
        </w:tblPrEx>
        <w:trPr>
          <w:trHeight w:val="401" w:hRule="atLeast"/>
        </w:trPr>
        <w:tc>
          <w:tcPr>
            <w:tcW w:w="6193" w:type="dxa"/>
            <w:tcBorders>
              <w:top w:val="nil"/>
              <w:left w:val="single" w:color="auto" w:sz="8" w:space="0"/>
              <w:bottom w:val="single" w:color="auto" w:sz="8" w:space="0"/>
              <w:right w:val="single" w:color="auto" w:sz="8" w:space="0"/>
            </w:tcBorders>
            <w:shd w:val="clear" w:color="000000" w:fill="FFFFFF"/>
            <w:vAlign w:val="center"/>
          </w:tcPr>
          <w:p>
            <w:pPr>
              <w:adjustRightInd/>
              <w:snapToGrid/>
              <w:spacing w:after="0"/>
              <w:rPr>
                <w:rFonts w:ascii="仿宋" w:hAnsi="仿宋" w:eastAsia="仿宋" w:cs="Arial"/>
                <w:color w:val="000000"/>
                <w:sz w:val="24"/>
                <w:szCs w:val="24"/>
              </w:rPr>
            </w:pPr>
            <w:r>
              <w:rPr>
                <w:rFonts w:hint="eastAsia" w:ascii="仿宋" w:hAnsi="仿宋" w:eastAsia="仿宋" w:cs="Arial"/>
                <w:color w:val="000000"/>
                <w:sz w:val="24"/>
                <w:szCs w:val="24"/>
              </w:rPr>
              <w:t>三、核心资本充足率</w:t>
            </w:r>
          </w:p>
        </w:tc>
        <w:tc>
          <w:tcPr>
            <w:tcW w:w="3475" w:type="dxa"/>
            <w:tcBorders>
              <w:top w:val="nil"/>
              <w:left w:val="nil"/>
              <w:bottom w:val="single" w:color="auto" w:sz="8" w:space="0"/>
              <w:right w:val="single" w:color="auto" w:sz="8" w:space="0"/>
            </w:tcBorders>
            <w:shd w:val="clear" w:color="000000" w:fill="FFFFFF"/>
            <w:vAlign w:val="center"/>
          </w:tcPr>
          <w:p>
            <w:pPr>
              <w:adjustRightInd/>
              <w:snapToGrid/>
              <w:spacing w:after="0"/>
              <w:jc w:val="center"/>
              <w:rPr>
                <w:rFonts w:ascii="仿宋" w:hAnsi="仿宋" w:eastAsia="仿宋" w:cs="Arial"/>
                <w:color w:val="000000"/>
                <w:sz w:val="24"/>
                <w:szCs w:val="24"/>
              </w:rPr>
            </w:pPr>
            <w:r>
              <w:rPr>
                <w:rFonts w:hint="eastAsia" w:ascii="仿宋" w:hAnsi="仿宋" w:eastAsia="仿宋" w:cs="Arial"/>
                <w:color w:val="000000"/>
                <w:sz w:val="24"/>
                <w:szCs w:val="24"/>
              </w:rPr>
              <w:t>10.98</w:t>
            </w:r>
          </w:p>
        </w:tc>
      </w:tr>
      <w:tr>
        <w:tblPrEx>
          <w:tblLayout w:type="fixed"/>
          <w:tblCellMar>
            <w:top w:w="0" w:type="dxa"/>
            <w:left w:w="108" w:type="dxa"/>
            <w:bottom w:w="0" w:type="dxa"/>
            <w:right w:w="108" w:type="dxa"/>
          </w:tblCellMar>
        </w:tblPrEx>
        <w:trPr>
          <w:trHeight w:val="386" w:hRule="atLeast"/>
        </w:trPr>
        <w:tc>
          <w:tcPr>
            <w:tcW w:w="6193" w:type="dxa"/>
            <w:tcBorders>
              <w:top w:val="nil"/>
              <w:left w:val="single" w:color="auto" w:sz="8" w:space="0"/>
              <w:bottom w:val="single" w:color="auto" w:sz="8" w:space="0"/>
              <w:right w:val="single" w:color="auto" w:sz="8" w:space="0"/>
            </w:tcBorders>
            <w:shd w:val="clear" w:color="000000" w:fill="FFFFFF"/>
            <w:vAlign w:val="center"/>
          </w:tcPr>
          <w:p>
            <w:pPr>
              <w:adjustRightInd/>
              <w:snapToGrid/>
              <w:spacing w:after="0"/>
              <w:rPr>
                <w:rFonts w:ascii="仿宋" w:hAnsi="仿宋" w:eastAsia="仿宋" w:cs="Arial"/>
                <w:color w:val="000000"/>
                <w:sz w:val="24"/>
                <w:szCs w:val="24"/>
              </w:rPr>
            </w:pPr>
            <w:r>
              <w:rPr>
                <w:rFonts w:hint="eastAsia" w:ascii="仿宋" w:hAnsi="仿宋" w:eastAsia="仿宋" w:cs="Arial"/>
                <w:color w:val="000000"/>
                <w:sz w:val="24"/>
                <w:szCs w:val="24"/>
              </w:rPr>
              <w:t>四、资本充足率</w:t>
            </w:r>
          </w:p>
        </w:tc>
        <w:tc>
          <w:tcPr>
            <w:tcW w:w="3475" w:type="dxa"/>
            <w:tcBorders>
              <w:top w:val="nil"/>
              <w:left w:val="nil"/>
              <w:bottom w:val="single" w:color="auto" w:sz="8" w:space="0"/>
              <w:right w:val="single" w:color="auto" w:sz="8" w:space="0"/>
            </w:tcBorders>
            <w:shd w:val="clear" w:color="000000" w:fill="FFFFFF"/>
            <w:vAlign w:val="center"/>
          </w:tcPr>
          <w:p>
            <w:pPr>
              <w:adjustRightInd/>
              <w:snapToGrid/>
              <w:spacing w:after="0"/>
              <w:jc w:val="center"/>
              <w:rPr>
                <w:rFonts w:ascii="仿宋" w:hAnsi="仿宋" w:eastAsia="仿宋" w:cs="Arial"/>
                <w:color w:val="000000"/>
                <w:sz w:val="24"/>
                <w:szCs w:val="24"/>
              </w:rPr>
            </w:pPr>
            <w:r>
              <w:rPr>
                <w:rFonts w:hint="eastAsia" w:ascii="仿宋" w:hAnsi="仿宋" w:eastAsia="仿宋" w:cs="Arial"/>
                <w:color w:val="000000"/>
                <w:sz w:val="24"/>
                <w:szCs w:val="24"/>
              </w:rPr>
              <w:t>12.92</w:t>
            </w:r>
          </w:p>
        </w:tc>
      </w:tr>
    </w:tbl>
    <w:p>
      <w:pPr>
        <w:pStyle w:val="10"/>
        <w:spacing w:before="0" w:beforeAutospacing="0" w:after="0" w:afterAutospacing="0" w:line="600" w:lineRule="exact"/>
        <w:ind w:firstLine="600" w:firstLineChars="200"/>
        <w:jc w:val="both"/>
        <w:rPr>
          <w:rFonts w:ascii="仿宋" w:hAnsi="仿宋" w:eastAsia="仿宋" w:cs="Times New Roman"/>
          <w:sz w:val="30"/>
          <w:szCs w:val="30"/>
        </w:rPr>
      </w:pP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8．报告期内，本行没有银行承兑汇票、对外担保、融资保函、非融资保函、贷款承诺、开出即期信用证、开出远期信用证、金融期货、金融期权等表外项目，其年末余额均为0。</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（四）关联方关系及交易</w:t>
      </w:r>
    </w:p>
    <w:p>
      <w:pPr>
        <w:pStyle w:val="10"/>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1.截至本财务报表批准报出日止，本行2025年度共发生关联交易5笔，发放余额1300万元，其中重大关联交易5笔，金额1300万元。</w:t>
      </w:r>
    </w:p>
    <w:p>
      <w:pPr>
        <w:pStyle w:val="10"/>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2.与主发起行之间的关联交易情况</w:t>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42"/>
        <w:gridCol w:w="2387"/>
        <w:gridCol w:w="2549"/>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973" w:hRule="atLeast"/>
          <w:jc w:val="center"/>
        </w:trPr>
        <w:tc>
          <w:tcPr>
            <w:tcW w:w="2242" w:type="dxa"/>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sz w:val="28"/>
                <w:szCs w:val="28"/>
              </w:rPr>
            </w:pPr>
            <w:r>
              <w:rPr>
                <w:rFonts w:hint="eastAsia" w:ascii="仿宋" w:hAnsi="仿宋" w:eastAsia="仿宋" w:cs="Times New Roman"/>
                <w:sz w:val="28"/>
                <w:szCs w:val="28"/>
              </w:rPr>
              <w:t>主发起行名称</w:t>
            </w:r>
          </w:p>
        </w:tc>
        <w:tc>
          <w:tcPr>
            <w:tcW w:w="2387" w:type="dxa"/>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sz w:val="28"/>
                <w:szCs w:val="28"/>
              </w:rPr>
            </w:pPr>
            <w:r>
              <w:rPr>
                <w:rFonts w:hint="eastAsia" w:ascii="仿宋" w:hAnsi="仿宋" w:eastAsia="仿宋" w:cs="Times New Roman"/>
                <w:sz w:val="28"/>
                <w:szCs w:val="28"/>
              </w:rPr>
              <w:t>村镇银行上存主发起行资金</w:t>
            </w:r>
          </w:p>
        </w:tc>
        <w:tc>
          <w:tcPr>
            <w:tcW w:w="2549" w:type="dxa"/>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sz w:val="28"/>
                <w:szCs w:val="28"/>
              </w:rPr>
            </w:pPr>
            <w:r>
              <w:rPr>
                <w:rFonts w:hint="eastAsia" w:ascii="仿宋" w:hAnsi="仿宋" w:eastAsia="仿宋" w:cs="Times New Roman"/>
                <w:sz w:val="28"/>
                <w:szCs w:val="28"/>
              </w:rPr>
              <w:t>主发起行对村镇银行的资金支持情况</w:t>
            </w:r>
          </w:p>
        </w:tc>
        <w:tc>
          <w:tcPr>
            <w:tcW w:w="1344" w:type="dxa"/>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sz w:val="28"/>
                <w:szCs w:val="28"/>
              </w:rPr>
            </w:pPr>
            <w:r>
              <w:rPr>
                <w:rFonts w:hint="eastAsia" w:ascii="仿宋" w:hAnsi="仿宋"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88" w:hRule="atLeast"/>
          <w:jc w:val="center"/>
        </w:trPr>
        <w:tc>
          <w:tcPr>
            <w:tcW w:w="2242" w:type="dxa"/>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sz w:val="28"/>
                <w:szCs w:val="28"/>
              </w:rPr>
            </w:pPr>
            <w:r>
              <w:rPr>
                <w:rFonts w:hint="eastAsia" w:ascii="仿宋" w:hAnsi="仿宋" w:eastAsia="仿宋" w:cs="Times New Roman"/>
                <w:sz w:val="28"/>
                <w:szCs w:val="28"/>
              </w:rPr>
              <w:t>侯马农商银行股份有限公司</w:t>
            </w:r>
          </w:p>
        </w:tc>
        <w:tc>
          <w:tcPr>
            <w:tcW w:w="2387" w:type="dxa"/>
            <w:tcMar>
              <w:top w:w="0" w:type="dxa"/>
              <w:left w:w="108" w:type="dxa"/>
              <w:bottom w:w="0" w:type="dxa"/>
              <w:right w:w="108" w:type="dxa"/>
            </w:tcMar>
            <w:vAlign w:val="center"/>
          </w:tcPr>
          <w:p>
            <w:pPr>
              <w:pStyle w:val="10"/>
              <w:spacing w:before="0" w:beforeAutospacing="0" w:after="0" w:afterAutospacing="0" w:line="600" w:lineRule="exact"/>
              <w:ind w:firstLine="560" w:firstLineChars="200"/>
              <w:jc w:val="center"/>
              <w:rPr>
                <w:rFonts w:ascii="仿宋" w:hAnsi="仿宋" w:eastAsia="仿宋"/>
                <w:sz w:val="28"/>
                <w:szCs w:val="28"/>
              </w:rPr>
            </w:pPr>
            <w:r>
              <w:rPr>
                <w:rFonts w:hint="eastAsia" w:ascii="仿宋" w:hAnsi="仿宋" w:eastAsia="仿宋" w:cs="Times New Roman"/>
                <w:sz w:val="28"/>
                <w:szCs w:val="28"/>
              </w:rPr>
              <w:t>1892.24</w:t>
            </w:r>
          </w:p>
        </w:tc>
        <w:tc>
          <w:tcPr>
            <w:tcW w:w="2549" w:type="dxa"/>
            <w:tcMar>
              <w:top w:w="0" w:type="dxa"/>
              <w:left w:w="108" w:type="dxa"/>
              <w:bottom w:w="0" w:type="dxa"/>
              <w:right w:w="108" w:type="dxa"/>
            </w:tcMar>
            <w:vAlign w:val="center"/>
          </w:tcPr>
          <w:p>
            <w:pPr>
              <w:pStyle w:val="10"/>
              <w:spacing w:before="0" w:beforeAutospacing="0" w:after="0" w:afterAutospacing="0" w:line="600" w:lineRule="exact"/>
              <w:ind w:firstLine="560" w:firstLineChars="200"/>
              <w:jc w:val="center"/>
              <w:rPr>
                <w:rFonts w:ascii="仿宋" w:hAnsi="仿宋" w:eastAsia="仿宋"/>
                <w:sz w:val="28"/>
                <w:szCs w:val="28"/>
              </w:rPr>
            </w:pPr>
            <w:r>
              <w:rPr>
                <w:rFonts w:hint="eastAsia" w:ascii="仿宋" w:hAnsi="仿宋" w:eastAsia="仿宋" w:cs="Times New Roman"/>
                <w:sz w:val="28"/>
                <w:szCs w:val="28"/>
              </w:rPr>
              <w:t>0</w:t>
            </w:r>
          </w:p>
        </w:tc>
        <w:tc>
          <w:tcPr>
            <w:tcW w:w="1344" w:type="dxa"/>
            <w:tcMar>
              <w:top w:w="0" w:type="dxa"/>
              <w:left w:w="108" w:type="dxa"/>
              <w:bottom w:w="0" w:type="dxa"/>
              <w:right w:w="108" w:type="dxa"/>
            </w:tcMar>
            <w:vAlign w:val="center"/>
          </w:tcPr>
          <w:p>
            <w:pPr>
              <w:spacing w:line="600" w:lineRule="exact"/>
              <w:ind w:firstLine="560" w:firstLineChars="200"/>
              <w:jc w:val="center"/>
              <w:rPr>
                <w:rFonts w:ascii="仿宋" w:hAnsi="仿宋" w:eastAsia="仿宋" w:cs="宋体"/>
                <w:sz w:val="28"/>
                <w:szCs w:val="28"/>
              </w:rPr>
            </w:pPr>
          </w:p>
        </w:tc>
      </w:tr>
    </w:tbl>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（五）重要会计政策和会计估计的变更</w:t>
      </w:r>
    </w:p>
    <w:p>
      <w:pPr>
        <w:pStyle w:val="10"/>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截至本财务报表批准报出日止，本行没有重要会计政策和会计估计的变更。</w:t>
      </w:r>
    </w:p>
    <w:p>
      <w:pPr>
        <w:pStyle w:val="10"/>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（六）或有事项</w:t>
      </w:r>
      <w:r>
        <w:rPr>
          <w:rFonts w:hint="eastAsia" w:ascii="仿宋" w:hAnsi="仿宋" w:eastAsia="仿宋"/>
          <w:sz w:val="30"/>
          <w:szCs w:val="30"/>
        </w:rPr>
        <w:t>。</w:t>
      </w:r>
      <w:r>
        <w:rPr>
          <w:rFonts w:hint="eastAsia" w:ascii="仿宋" w:hAnsi="仿宋" w:eastAsia="仿宋" w:cs="Times New Roman"/>
          <w:sz w:val="30"/>
          <w:szCs w:val="30"/>
        </w:rPr>
        <w:t>截至本财务报表批准报出日止，本行没有其他任何需作披露的或有事项。</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（七）资产负债表日后事项</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截至本财务报表批准报出日止，本行没有其他任何需作披露或调整的重大资产负债表日后事项。</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（八）重要资产转让及出售情况</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截至本财务报表批准报出日止，本行未发生重要资产转让及出售事项。</w:t>
      </w:r>
    </w:p>
    <w:p>
      <w:pPr>
        <w:pStyle w:val="3"/>
        <w:spacing w:line="600" w:lineRule="exact"/>
        <w:ind w:firstLine="600" w:firstLineChars="200"/>
        <w:jc w:val="both"/>
        <w:rPr>
          <w:rFonts w:ascii="仿宋" w:hAnsi="仿宋" w:eastAsia="仿宋" w:cs="Times New Roman"/>
          <w:sz w:val="30"/>
          <w:szCs w:val="30"/>
          <w:highlight w:val="yellow"/>
        </w:rPr>
      </w:pPr>
      <w:bookmarkStart w:id="13" w:name="_Toc227401520"/>
      <w:bookmarkEnd w:id="13"/>
      <w:bookmarkStart w:id="14" w:name="_Toc193883041"/>
      <w:bookmarkEnd w:id="14"/>
      <w:bookmarkStart w:id="15" w:name="_Toc481080002"/>
      <w:r>
        <w:rPr>
          <w:rStyle w:val="14"/>
          <w:rFonts w:hint="eastAsia" w:ascii="仿宋" w:hAnsi="仿宋" w:eastAsia="仿宋" w:cs="Arial"/>
          <w:b w:val="0"/>
          <w:bCs w:val="0"/>
          <w:sz w:val="30"/>
          <w:szCs w:val="30"/>
        </w:rPr>
        <w:t>三</w:t>
      </w:r>
      <w:bookmarkEnd w:id="15"/>
      <w:r>
        <w:rPr>
          <w:rStyle w:val="14"/>
          <w:rFonts w:hint="eastAsia" w:ascii="仿宋" w:hAnsi="仿宋" w:eastAsia="仿宋" w:cs="Arial"/>
          <w:b w:val="0"/>
          <w:bCs w:val="0"/>
          <w:sz w:val="30"/>
          <w:szCs w:val="30"/>
        </w:rPr>
        <w:t>、财务状况说明书</w:t>
      </w:r>
      <w:bookmarkStart w:id="16" w:name="_Toc322415013"/>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（一）基本经营情况</w:t>
      </w:r>
      <w:bookmarkEnd w:id="16"/>
    </w:p>
    <w:p>
      <w:pPr>
        <w:pStyle w:val="10"/>
        <w:spacing w:before="0" w:beforeAutospacing="0" w:after="0" w:afterAutospacing="0" w:line="600" w:lineRule="exact"/>
        <w:ind w:firstLine="600" w:firstLineChars="200"/>
        <w:jc w:val="both"/>
        <w:rPr>
          <w:rFonts w:ascii="仿宋" w:hAnsi="仿宋" w:eastAsia="仿宋"/>
          <w:sz w:val="30"/>
          <w:szCs w:val="30"/>
        </w:rPr>
      </w:pPr>
      <w:bookmarkStart w:id="17" w:name="_Toc322415014"/>
      <w:bookmarkEnd w:id="17"/>
      <w:r>
        <w:rPr>
          <w:rFonts w:hint="eastAsia" w:ascii="仿宋" w:hAnsi="仿宋" w:eastAsia="仿宋" w:cs="Times New Roman"/>
          <w:sz w:val="30"/>
          <w:szCs w:val="30"/>
        </w:rPr>
        <w:t>截止报告期末，本行资产总额129197万元；各项存款115963.78万元；各项贷款64466万元；全年实现税前利润33.65万元；不良贷款（五级分类）1289万元；不良贷款率2%；资本充足率13.24%。</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（二）利润实现和分配情况</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截止报告期末，本行实现税前利润94.56万元，净利润33.65万元，累计提取法定盈余公积309.07万元，累计提取一般风险准备373.63万元，未分配利润911.66万元。</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（三）薪酬情况</w:t>
      </w:r>
    </w:p>
    <w:p>
      <w:pPr>
        <w:pStyle w:val="10"/>
        <w:spacing w:before="0" w:beforeAutospacing="0" w:after="0" w:afterAutospacing="0" w:line="600" w:lineRule="exact"/>
        <w:ind w:firstLine="600" w:firstLineChars="200"/>
        <w:jc w:val="both"/>
        <w:rPr>
          <w:rFonts w:ascii="仿宋" w:hAnsi="仿宋" w:eastAsia="仿宋"/>
          <w:sz w:val="30"/>
          <w:szCs w:val="30"/>
        </w:rPr>
      </w:pPr>
      <w:bookmarkStart w:id="18" w:name="_Toc322415015"/>
      <w:bookmarkEnd w:id="18"/>
      <w:r>
        <w:rPr>
          <w:rFonts w:hint="eastAsia" w:ascii="仿宋" w:hAnsi="仿宋" w:eastAsia="仿宋" w:cs="Times New Roman"/>
          <w:sz w:val="30"/>
          <w:szCs w:val="30"/>
        </w:rPr>
        <w:t>截至报告期末，本行人员费用总额为1702.67万元，其中：职工工资为1223.02万元，五险二金支出为335.47万元，其他支出144.18万元。</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（四）其他事项</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报告期内，没有对本行财务状况、经营成果有重大影响的事项。</w:t>
      </w:r>
    </w:p>
    <w:p>
      <w:pPr>
        <w:pStyle w:val="2"/>
        <w:spacing w:before="0" w:beforeAutospacing="0" w:after="0" w:afterAutospacing="0" w:line="600" w:lineRule="exact"/>
        <w:ind w:firstLine="602" w:firstLineChars="200"/>
        <w:jc w:val="center"/>
        <w:rPr>
          <w:rStyle w:val="14"/>
          <w:rFonts w:ascii="仿宋" w:hAnsi="仿宋" w:eastAsia="仿宋"/>
          <w:b/>
          <w:bCs/>
          <w:sz w:val="30"/>
          <w:szCs w:val="30"/>
        </w:rPr>
      </w:pPr>
      <w:bookmarkStart w:id="19" w:name="_Toc481080003"/>
      <w:r>
        <w:rPr>
          <w:rStyle w:val="14"/>
          <w:rFonts w:hint="eastAsia" w:ascii="仿宋" w:hAnsi="仿宋" w:eastAsia="仿宋"/>
          <w:b/>
          <w:bCs/>
          <w:sz w:val="30"/>
          <w:szCs w:val="30"/>
        </w:rPr>
        <w:t>第四章</w:t>
      </w:r>
      <w:r>
        <w:rPr>
          <w:rStyle w:val="14"/>
          <w:rFonts w:hint="eastAsia" w:eastAsia="仿宋"/>
          <w:b/>
          <w:bCs/>
          <w:sz w:val="30"/>
          <w:szCs w:val="30"/>
        </w:rPr>
        <w:t> </w:t>
      </w:r>
      <w:r>
        <w:rPr>
          <w:rStyle w:val="20"/>
          <w:rFonts w:hint="eastAsia" w:eastAsia="仿宋"/>
          <w:sz w:val="30"/>
          <w:szCs w:val="30"/>
        </w:rPr>
        <w:t> </w:t>
      </w:r>
      <w:bookmarkEnd w:id="19"/>
      <w:r>
        <w:rPr>
          <w:rStyle w:val="14"/>
          <w:rFonts w:hint="eastAsia" w:ascii="仿宋" w:hAnsi="仿宋" w:eastAsia="仿宋"/>
          <w:b/>
          <w:bCs/>
          <w:sz w:val="30"/>
          <w:szCs w:val="30"/>
        </w:rPr>
        <w:t>风险管理情况</w:t>
      </w:r>
    </w:p>
    <w:p>
      <w:pPr>
        <w:pStyle w:val="2"/>
        <w:spacing w:before="0" w:beforeAutospacing="0" w:after="0" w:afterAutospacing="0" w:line="600" w:lineRule="exact"/>
        <w:ind w:firstLine="602" w:firstLineChars="200"/>
        <w:rPr>
          <w:rFonts w:ascii="仿宋" w:hAnsi="仿宋" w:eastAsia="仿宋"/>
          <w:sz w:val="30"/>
          <w:szCs w:val="30"/>
        </w:rPr>
      </w:pPr>
      <w:r>
        <w:rPr>
          <w:rStyle w:val="20"/>
          <w:rFonts w:ascii="Arial" w:hAnsi="Arial" w:eastAsia="仿宋" w:cs="Arial"/>
          <w:sz w:val="30"/>
          <w:szCs w:val="30"/>
        </w:rPr>
        <w:t> </w:t>
      </w:r>
      <w:bookmarkStart w:id="20" w:name="_Toc481080004"/>
      <w:r>
        <w:rPr>
          <w:rStyle w:val="14"/>
          <w:rFonts w:hint="eastAsia" w:ascii="仿宋" w:hAnsi="仿宋" w:eastAsia="仿宋" w:cs="Arial"/>
          <w:b/>
          <w:bCs/>
          <w:sz w:val="30"/>
          <w:szCs w:val="30"/>
        </w:rPr>
        <w:t>一、</w:t>
      </w:r>
      <w:bookmarkEnd w:id="20"/>
      <w:r>
        <w:rPr>
          <w:rStyle w:val="14"/>
          <w:rFonts w:hint="eastAsia" w:ascii="仿宋" w:hAnsi="仿宋" w:eastAsia="仿宋" w:cs="Arial"/>
          <w:b/>
          <w:bCs/>
          <w:sz w:val="30"/>
          <w:szCs w:val="30"/>
        </w:rPr>
        <w:t>信用风险状况</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本行面临的信用风险是指交易对方无法在到期日全额偿还本行借贷资金的风险。当交易对方集中于某些相同行业或地理区域时，信用风险随之上升。</w:t>
      </w:r>
    </w:p>
    <w:p>
      <w:pPr>
        <w:pStyle w:val="6"/>
        <w:spacing w:before="0" w:beforeAutospacing="0" w:after="120" w:afterAutospacing="0" w:line="600" w:lineRule="exact"/>
        <w:ind w:firstLine="600" w:firstLineChars="200"/>
        <w:jc w:val="both"/>
        <w:rPr>
          <w:rFonts w:ascii="仿宋" w:hAnsi="仿宋" w:eastAsia="仿宋"/>
          <w:sz w:val="30"/>
          <w:szCs w:val="30"/>
        </w:rPr>
      </w:pPr>
      <w:bookmarkStart w:id="21" w:name="_Toc227401526"/>
      <w:bookmarkEnd w:id="21"/>
      <w:bookmarkStart w:id="22" w:name="_Toc193883047"/>
      <w:bookmarkEnd w:id="22"/>
      <w:bookmarkStart w:id="23" w:name="_Toc322415018"/>
      <w:r>
        <w:rPr>
          <w:rFonts w:hint="eastAsia" w:ascii="仿宋" w:hAnsi="仿宋" w:eastAsia="仿宋" w:cs="Tahoma"/>
          <w:sz w:val="30"/>
          <w:szCs w:val="30"/>
        </w:rPr>
        <w:t>（一）董事会、经营管理层信用风险的控制能力</w:t>
      </w:r>
      <w:bookmarkEnd w:id="23"/>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报告期内，本行董事和经营管理层进一步加强信用风险管控，强化政策导向和制度约束，建立和加强风险管理和内部控制机制，定期监测风险状况，提升了资产质量。</w:t>
      </w:r>
    </w:p>
    <w:p>
      <w:pPr>
        <w:pStyle w:val="10"/>
        <w:spacing w:before="0" w:beforeAutospacing="0" w:after="0" w:afterAutospacing="0" w:line="600" w:lineRule="exact"/>
        <w:ind w:firstLine="600" w:firstLineChars="200"/>
        <w:jc w:val="both"/>
        <w:rPr>
          <w:rFonts w:ascii="仿宋" w:hAnsi="仿宋" w:eastAsia="仿宋"/>
          <w:sz w:val="30"/>
          <w:szCs w:val="30"/>
        </w:rPr>
      </w:pPr>
      <w:bookmarkStart w:id="24" w:name="_Toc322415019"/>
      <w:r>
        <w:rPr>
          <w:rFonts w:hint="eastAsia" w:ascii="仿宋" w:hAnsi="仿宋" w:eastAsia="仿宋" w:cs="Times New Roman"/>
          <w:sz w:val="30"/>
          <w:szCs w:val="30"/>
        </w:rPr>
        <w:t>（二）信用风险管理政策</w:t>
      </w:r>
      <w:bookmarkEnd w:id="24"/>
    </w:p>
    <w:p>
      <w:pPr>
        <w:pStyle w:val="10"/>
        <w:spacing w:before="0" w:beforeAutospacing="0" w:after="0" w:afterAutospacing="0" w:line="600" w:lineRule="exact"/>
        <w:ind w:firstLine="600" w:firstLineChars="200"/>
        <w:rPr>
          <w:rFonts w:ascii="仿宋" w:hAnsi="仿宋" w:eastAsia="仿宋"/>
          <w:sz w:val="30"/>
          <w:szCs w:val="30"/>
        </w:rPr>
      </w:pPr>
      <w:r>
        <w:rPr>
          <w:rFonts w:hint="eastAsia" w:ascii="仿宋" w:hAnsi="仿宋" w:eastAsia="仿宋" w:cs="Times New Roman"/>
          <w:sz w:val="30"/>
          <w:szCs w:val="30"/>
        </w:rPr>
        <w:t>本行产生信用风险的主要是信贷业务。本行信贷业务政策是遵循国家法律法规，严格执行国家的产业政策，以安全性、流动性、效益性为经营原则，以小额、流动、分散为信贷原则，准确、高效、安全地运作信贷资金，控制关联交易风险，保护存款人和其他客户的合法权益。</w:t>
      </w:r>
    </w:p>
    <w:p>
      <w:pPr>
        <w:pStyle w:val="6"/>
        <w:spacing w:before="0" w:beforeAutospacing="0" w:after="0" w:afterAutospacing="0" w:line="600" w:lineRule="exact"/>
        <w:ind w:firstLine="600" w:firstLineChars="200"/>
        <w:jc w:val="both"/>
        <w:rPr>
          <w:rFonts w:ascii="仿宋" w:hAnsi="仿宋" w:eastAsia="仿宋"/>
          <w:sz w:val="30"/>
          <w:szCs w:val="30"/>
        </w:rPr>
      </w:pPr>
      <w:bookmarkStart w:id="25" w:name="_Toc193883045"/>
      <w:r>
        <w:rPr>
          <w:rFonts w:hint="eastAsia" w:ascii="仿宋" w:hAnsi="仿宋" w:eastAsia="仿宋" w:cs="Tahoma"/>
          <w:sz w:val="30"/>
          <w:szCs w:val="30"/>
        </w:rPr>
        <w:t>（三）风险计量、检测和管理信息系统</w:t>
      </w:r>
      <w:bookmarkEnd w:id="25"/>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1、风险计量。本行采取客户评级来实现风险计量。本行信用等级评定设定统一的评级标准，并按得分高低分为AAA、AA、A、B、和C共五个等级。</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2、风险检测。本行采取风险预警的方法来实现风险检测。本行根据各种渠道获得的信息，通过一定的技术手段，对贷款客户的预警信号进行识别，分析、衡量其风险状况，并进行动态监测和早期预警，实现对风险“防患于未然”的一种“防错纠错机制”。</w:t>
      </w:r>
    </w:p>
    <w:p>
      <w:pPr>
        <w:pStyle w:val="10"/>
        <w:spacing w:before="0" w:beforeAutospacing="0" w:after="0" w:afterAutospacing="0" w:line="600" w:lineRule="exact"/>
        <w:ind w:firstLine="600" w:firstLineChars="200"/>
        <w:rPr>
          <w:rFonts w:ascii="仿宋" w:hAnsi="仿宋" w:eastAsia="仿宋"/>
          <w:sz w:val="30"/>
          <w:szCs w:val="30"/>
        </w:rPr>
      </w:pPr>
      <w:r>
        <w:rPr>
          <w:rFonts w:hint="eastAsia" w:ascii="仿宋" w:hAnsi="仿宋" w:eastAsia="仿宋" w:cs="Times New Roman"/>
          <w:sz w:val="30"/>
          <w:szCs w:val="30"/>
        </w:rPr>
        <w:t>3、管理信息系统。目前，本行的信贷管理系统只对客户贷款的信用情况进行监督。</w:t>
      </w:r>
    </w:p>
    <w:p>
      <w:pPr>
        <w:pStyle w:val="10"/>
        <w:spacing w:before="0" w:beforeAutospacing="0" w:after="0" w:afterAutospacing="0" w:line="600" w:lineRule="exact"/>
        <w:ind w:firstLine="600" w:firstLineChars="200"/>
        <w:rPr>
          <w:rFonts w:ascii="仿宋" w:hAnsi="仿宋" w:eastAsia="仿宋"/>
          <w:sz w:val="30"/>
          <w:szCs w:val="30"/>
        </w:rPr>
      </w:pPr>
      <w:r>
        <w:rPr>
          <w:rFonts w:hint="eastAsia" w:ascii="仿宋" w:hAnsi="仿宋" w:eastAsia="仿宋" w:cs="Times New Roman"/>
          <w:sz w:val="30"/>
          <w:szCs w:val="30"/>
        </w:rPr>
        <w:t>（四）内部控制和全面审计情况</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本行制定了《信贷管理制度》、《信贷人员责任追究制度》、《客户评级及额度授信办法》、《信贷审批规程》等制度，逐步建立了一个比较完善的内控制度体系。报告期内，发起行侯马农商行每年对本行的信贷业务开展情况进行了全面审计，重点对贷款三查调查真实性、审查审批合规性与风险控制有效性、贷款走款支付合规性与风险控制有效性、贷后管理及有效性、贷款收回与展期、续贷、追加额度合规性与风险控制有效性等等进行审计，通过开展审计，揭示本行存在的缺陷与不足之处，堵塞漏洞。</w:t>
      </w:r>
    </w:p>
    <w:p>
      <w:pPr>
        <w:pStyle w:val="10"/>
        <w:spacing w:before="0" w:beforeAutospacing="0" w:after="0" w:afterAutospacing="0" w:line="600" w:lineRule="exact"/>
        <w:ind w:firstLine="600" w:firstLineChars="200"/>
        <w:rPr>
          <w:rFonts w:ascii="仿宋" w:hAnsi="仿宋" w:eastAsia="仿宋"/>
          <w:sz w:val="30"/>
          <w:szCs w:val="30"/>
        </w:rPr>
      </w:pPr>
      <w:r>
        <w:rPr>
          <w:rFonts w:hint="eastAsia" w:ascii="仿宋" w:hAnsi="仿宋" w:eastAsia="仿宋" w:cs="Times New Roman"/>
          <w:sz w:val="30"/>
          <w:szCs w:val="30"/>
        </w:rPr>
        <w:t>（五）其他披露情况</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1、产生信用风险的业务活动：各类信贷业务活动。</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2、信用风险管理组织结构和职责划分</w:t>
      </w:r>
    </w:p>
    <w:tbl>
      <w:tblPr>
        <w:tblStyle w:val="11"/>
        <w:tblW w:w="8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253" w:type="dxa"/>
            <w:tcMar>
              <w:top w:w="54" w:type="dxa"/>
              <w:left w:w="107" w:type="dxa"/>
              <w:bottom w:w="54" w:type="dxa"/>
              <w:right w:w="107" w:type="dxa"/>
            </w:tcMar>
            <w:vAlign w:val="center"/>
          </w:tcPr>
          <w:p>
            <w:pPr>
              <w:pStyle w:val="10"/>
              <w:spacing w:before="0" w:beforeAutospacing="0" w:after="0" w:afterAutospacing="0" w:line="600" w:lineRule="exact"/>
              <w:ind w:firstLine="482" w:firstLineChars="200"/>
              <w:jc w:val="center"/>
              <w:rPr>
                <w:rFonts w:ascii="仿宋" w:hAnsi="仿宋" w:eastAsia="仿宋"/>
                <w:color w:val="404040"/>
                <w:highlight w:val="yellow"/>
              </w:rPr>
            </w:pPr>
            <w:r>
              <w:rPr>
                <w:rStyle w:val="14"/>
                <w:rFonts w:hint="eastAsia" w:ascii="仿宋" w:hAnsi="仿宋" w:eastAsia="仿宋"/>
                <w:color w:val="404040"/>
              </w:rPr>
              <w:t>董事会</w:t>
            </w:r>
          </w:p>
        </w:tc>
      </w:tr>
    </w:tbl>
    <w:p>
      <w:pPr>
        <w:spacing w:line="600" w:lineRule="exact"/>
        <w:ind w:firstLine="480" w:firstLineChars="200"/>
        <w:rPr>
          <w:rFonts w:ascii="仿宋" w:hAnsi="仿宋" w:eastAsia="仿宋"/>
          <w:vanish/>
          <w:sz w:val="24"/>
          <w:szCs w:val="24"/>
          <w:highlight w:val="yellow"/>
        </w:rPr>
      </w:pPr>
    </w:p>
    <w:tbl>
      <w:tblPr>
        <w:tblStyle w:val="11"/>
        <w:tblW w:w="8253" w:type="dxa"/>
        <w:tblInd w:w="0" w:type="dxa"/>
        <w:tblBorders>
          <w:top w:val="none" w:color="auto" w:sz="0" w:space="0"/>
          <w:left w:val="single" w:color="auto" w:sz="4" w:space="0"/>
          <w:bottom w:val="none" w:color="auto" w:sz="0"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8253"/>
      </w:tblGrid>
      <w:tr>
        <w:tblPrEx>
          <w:tblBorders>
            <w:top w:val="none" w:color="auto" w:sz="0" w:space="0"/>
            <w:left w:val="single" w:color="auto" w:sz="4" w:space="0"/>
            <w:bottom w:val="none" w:color="auto" w:sz="0"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c>
          <w:tcPr>
            <w:tcW w:w="8253" w:type="dxa"/>
            <w:tcBorders>
              <w:bottom w:val="single" w:color="auto" w:sz="4" w:space="0"/>
            </w:tcBorders>
            <w:tcMar>
              <w:top w:w="54" w:type="dxa"/>
              <w:left w:w="107" w:type="dxa"/>
              <w:bottom w:w="54" w:type="dxa"/>
              <w:right w:w="107" w:type="dxa"/>
            </w:tcMar>
            <w:vAlign w:val="center"/>
          </w:tcPr>
          <w:p>
            <w:pPr>
              <w:pStyle w:val="10"/>
              <w:spacing w:before="0" w:beforeAutospacing="0" w:after="0" w:afterAutospacing="0" w:line="600" w:lineRule="exact"/>
              <w:ind w:firstLine="482" w:firstLineChars="200"/>
              <w:jc w:val="center"/>
              <w:rPr>
                <w:rFonts w:ascii="仿宋" w:hAnsi="仿宋" w:eastAsia="仿宋"/>
                <w:color w:val="404040"/>
                <w:highlight w:val="yellow"/>
              </w:rPr>
            </w:pPr>
            <w:r>
              <w:rPr>
                <w:rStyle w:val="14"/>
                <w:rFonts w:hint="eastAsia" w:ascii="仿宋" w:hAnsi="仿宋" w:eastAsia="仿宋"/>
                <w:color w:val="404040"/>
              </w:rPr>
              <w:t>行长</w:t>
            </w:r>
          </w:p>
        </w:tc>
      </w:tr>
    </w:tbl>
    <w:p>
      <w:pPr>
        <w:spacing w:line="600" w:lineRule="exact"/>
        <w:ind w:firstLine="480" w:firstLineChars="200"/>
        <w:rPr>
          <w:rFonts w:ascii="仿宋" w:hAnsi="仿宋" w:eastAsia="仿宋"/>
          <w:vanish/>
          <w:sz w:val="24"/>
          <w:szCs w:val="24"/>
          <w:highlight w:val="yellow"/>
        </w:rPr>
      </w:pPr>
    </w:p>
    <w:tbl>
      <w:tblPr>
        <w:tblStyle w:val="11"/>
        <w:tblW w:w="8253" w:type="dxa"/>
        <w:tblInd w:w="0" w:type="dxa"/>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8253"/>
      </w:tblGrid>
      <w:tr>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c>
          <w:tcPr>
            <w:tcW w:w="8253" w:type="dxa"/>
            <w:tcMar>
              <w:top w:w="54" w:type="dxa"/>
              <w:left w:w="107" w:type="dxa"/>
              <w:bottom w:w="54" w:type="dxa"/>
              <w:right w:w="107" w:type="dxa"/>
            </w:tcMar>
            <w:vAlign w:val="center"/>
          </w:tcPr>
          <w:p>
            <w:pPr>
              <w:pStyle w:val="10"/>
              <w:spacing w:before="0" w:beforeAutospacing="0" w:after="0" w:afterAutospacing="0" w:line="600" w:lineRule="exact"/>
              <w:ind w:firstLine="482" w:firstLineChars="200"/>
              <w:jc w:val="center"/>
              <w:rPr>
                <w:rFonts w:ascii="仿宋" w:hAnsi="仿宋" w:eastAsia="仿宋"/>
                <w:color w:val="404040"/>
                <w:highlight w:val="yellow"/>
              </w:rPr>
            </w:pPr>
            <w:r>
              <w:rPr>
                <w:rStyle w:val="14"/>
                <w:rFonts w:hint="eastAsia" w:ascii="仿宋" w:hAnsi="仿宋" w:eastAsia="仿宋"/>
                <w:color w:val="404040"/>
              </w:rPr>
              <w:t>贷审会</w:t>
            </w:r>
          </w:p>
        </w:tc>
      </w:tr>
    </w:tbl>
    <w:p>
      <w:pPr>
        <w:spacing w:line="600" w:lineRule="exact"/>
        <w:ind w:firstLine="480" w:firstLineChars="200"/>
        <w:rPr>
          <w:rFonts w:ascii="仿宋" w:hAnsi="仿宋" w:eastAsia="仿宋"/>
          <w:vanish/>
          <w:sz w:val="24"/>
          <w:szCs w:val="24"/>
          <w:highlight w:val="yellow"/>
        </w:rPr>
      </w:pPr>
    </w:p>
    <w:tbl>
      <w:tblPr>
        <w:tblStyle w:val="11"/>
        <w:tblW w:w="8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253" w:type="dxa"/>
            <w:tcMar>
              <w:top w:w="54" w:type="dxa"/>
              <w:left w:w="107" w:type="dxa"/>
              <w:bottom w:w="54" w:type="dxa"/>
              <w:right w:w="107" w:type="dxa"/>
            </w:tcMar>
            <w:vAlign w:val="center"/>
          </w:tcPr>
          <w:p>
            <w:pPr>
              <w:pStyle w:val="10"/>
              <w:spacing w:before="0" w:beforeAutospacing="0" w:after="0" w:afterAutospacing="0" w:line="600" w:lineRule="exact"/>
              <w:ind w:firstLine="482" w:firstLineChars="200"/>
              <w:jc w:val="center"/>
              <w:rPr>
                <w:rFonts w:ascii="仿宋" w:hAnsi="仿宋" w:eastAsia="仿宋"/>
                <w:color w:val="404040"/>
                <w:highlight w:val="yellow"/>
              </w:rPr>
            </w:pPr>
            <w:r>
              <w:rPr>
                <w:rStyle w:val="14"/>
                <w:rFonts w:hint="eastAsia" w:ascii="仿宋" w:hAnsi="仿宋" w:eastAsia="仿宋"/>
                <w:color w:val="404040"/>
              </w:rPr>
              <w:t>风险合规部</w:t>
            </w:r>
          </w:p>
        </w:tc>
      </w:tr>
    </w:tbl>
    <w:p>
      <w:pPr>
        <w:spacing w:line="600" w:lineRule="exact"/>
        <w:ind w:firstLine="480" w:firstLineChars="200"/>
        <w:rPr>
          <w:rFonts w:ascii="仿宋" w:hAnsi="仿宋" w:eastAsia="仿宋"/>
          <w:vanish/>
          <w:sz w:val="24"/>
          <w:szCs w:val="24"/>
          <w:highlight w:val="yellow"/>
        </w:rPr>
      </w:pPr>
    </w:p>
    <w:tbl>
      <w:tblPr>
        <w:tblStyle w:val="11"/>
        <w:tblW w:w="8253" w:type="dxa"/>
        <w:tblInd w:w="0" w:type="dxa"/>
        <w:tblBorders>
          <w:top w:val="none" w:color="auto" w:sz="0" w:space="0"/>
          <w:left w:val="single" w:color="auto" w:sz="4" w:space="0"/>
          <w:bottom w:val="none" w:color="auto" w:sz="0"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8253"/>
      </w:tblGrid>
      <w:tr>
        <w:tblPrEx>
          <w:tblBorders>
            <w:top w:val="none" w:color="auto" w:sz="0" w:space="0"/>
            <w:left w:val="single" w:color="auto" w:sz="4" w:space="0"/>
            <w:bottom w:val="none" w:color="auto" w:sz="0"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c>
          <w:tcPr>
            <w:tcW w:w="8253" w:type="dxa"/>
            <w:tcBorders>
              <w:top w:val="single" w:color="auto" w:sz="4" w:space="0"/>
              <w:bottom w:val="single" w:color="auto" w:sz="4" w:space="0"/>
            </w:tcBorders>
            <w:tcMar>
              <w:top w:w="54" w:type="dxa"/>
              <w:left w:w="107" w:type="dxa"/>
              <w:bottom w:w="54" w:type="dxa"/>
              <w:right w:w="107" w:type="dxa"/>
            </w:tcMar>
            <w:vAlign w:val="center"/>
          </w:tcPr>
          <w:p>
            <w:pPr>
              <w:pStyle w:val="10"/>
              <w:spacing w:before="0" w:beforeAutospacing="0" w:after="0" w:afterAutospacing="0" w:line="600" w:lineRule="exact"/>
              <w:ind w:firstLine="482" w:firstLineChars="200"/>
              <w:jc w:val="center"/>
              <w:rPr>
                <w:rFonts w:ascii="仿宋" w:hAnsi="仿宋" w:eastAsia="仿宋"/>
                <w:color w:val="404040"/>
                <w:highlight w:val="yellow"/>
              </w:rPr>
            </w:pPr>
            <w:r>
              <w:rPr>
                <w:rStyle w:val="14"/>
                <w:rFonts w:hint="eastAsia" w:ascii="仿宋" w:hAnsi="仿宋" w:eastAsia="仿宋"/>
                <w:color w:val="404040"/>
              </w:rPr>
              <w:t>信贷管理部</w:t>
            </w:r>
          </w:p>
        </w:tc>
      </w:tr>
    </w:tbl>
    <w:p>
      <w:pPr>
        <w:spacing w:line="600" w:lineRule="exact"/>
        <w:ind w:firstLine="480" w:firstLineChars="200"/>
        <w:rPr>
          <w:rFonts w:ascii="仿宋" w:hAnsi="仿宋" w:eastAsia="仿宋"/>
          <w:vanish/>
          <w:sz w:val="24"/>
          <w:szCs w:val="24"/>
          <w:highlight w:val="yellow"/>
        </w:rPr>
      </w:pPr>
    </w:p>
    <w:p>
      <w:pPr>
        <w:spacing w:line="600" w:lineRule="exact"/>
        <w:ind w:firstLine="480" w:firstLineChars="200"/>
        <w:rPr>
          <w:rFonts w:ascii="仿宋" w:hAnsi="仿宋" w:eastAsia="仿宋"/>
          <w:vanish/>
          <w:sz w:val="24"/>
          <w:szCs w:val="24"/>
          <w:highlight w:val="yellow"/>
        </w:rPr>
      </w:pPr>
    </w:p>
    <w:tbl>
      <w:tblPr>
        <w:tblStyle w:val="11"/>
        <w:tblW w:w="8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253" w:type="dxa"/>
            <w:tcMar>
              <w:top w:w="54" w:type="dxa"/>
              <w:left w:w="107" w:type="dxa"/>
              <w:bottom w:w="54" w:type="dxa"/>
              <w:right w:w="107" w:type="dxa"/>
            </w:tcMar>
            <w:vAlign w:val="center"/>
          </w:tcPr>
          <w:p>
            <w:pPr>
              <w:pStyle w:val="10"/>
              <w:spacing w:before="0" w:beforeAutospacing="0" w:after="0" w:afterAutospacing="0" w:line="600" w:lineRule="exact"/>
              <w:ind w:firstLine="482" w:firstLineChars="200"/>
              <w:jc w:val="center"/>
              <w:rPr>
                <w:rFonts w:ascii="仿宋" w:hAnsi="仿宋" w:eastAsia="仿宋"/>
                <w:color w:val="404040"/>
                <w:highlight w:val="yellow"/>
              </w:rPr>
            </w:pPr>
            <w:r>
              <w:rPr>
                <w:rStyle w:val="14"/>
                <w:rFonts w:hint="eastAsia" w:ascii="仿宋" w:hAnsi="仿宋" w:eastAsia="仿宋"/>
                <w:color w:val="404040"/>
              </w:rPr>
              <w:t>各支行、网点</w:t>
            </w:r>
          </w:p>
        </w:tc>
      </w:tr>
    </w:tbl>
    <w:p>
      <w:pPr>
        <w:pStyle w:val="10"/>
        <w:spacing w:before="0" w:beforeAutospacing="0" w:after="0" w:afterAutospacing="0" w:line="600" w:lineRule="exact"/>
        <w:ind w:firstLine="600" w:firstLineChars="200"/>
        <w:jc w:val="both"/>
        <w:rPr>
          <w:rFonts w:ascii="仿宋" w:hAnsi="仿宋" w:eastAsia="仿宋"/>
          <w:color w:val="404040"/>
          <w:sz w:val="30"/>
          <w:szCs w:val="30"/>
        </w:rPr>
      </w:pPr>
      <w:r>
        <w:rPr>
          <w:rFonts w:hint="eastAsia" w:ascii="微软雅黑" w:hAnsi="微软雅黑" w:eastAsia="仿宋"/>
          <w:color w:val="404040"/>
          <w:sz w:val="30"/>
          <w:szCs w:val="30"/>
        </w:rPr>
        <w:t>各支行、网点主要负责贷款调查、审查、贷后管理、贷款发放、支付的审核与资金监控；信贷管理部主要负责贷款“三查”制度监督落实、信贷产品开发、信贷制度建设、不良贷款风险监测及风险处置等工作；风险合规部主要负责贷款合规风险、道德风险检查；贷审会负责授权范围内贷款的审批；行长负责对授权范围内的贷款进行审批。</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3、资产风险分类的程序和方法。本行依据《商业银行金融资产风险分类办法》，结合本行实际，制定相关制度，信贷资产按照 “五级分类法”来规范资产风险分类管理，采取“按月认定，实时调整”的原则，按月对所有信贷资产进行一次五级分类，同时将信贷资产质量五级分类纳入日常信贷管理工作，根据信贷资产风险变化情况进行实时监控和调整,按月统计汇总上报五级分类结果。本行通过现场查阅和分析手段，获取借款人财务、现金流量、担保、非财务等方面的信息。分类时对影响借款人还款能力的各类因素评估结论，作为判定贷款类别的主要依据，并注重第一还款来源。</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4、信用风险分布情况。本行产生信用风险的活动主要是各类信贷业务活动，信用风险主要分布在信贷业务。报告期末，本行正常类贷款63128万元，关注类贷款49万元，次级类424万元，可疑类865万元。</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5、信用风险集中度。报告期末，本行最大单一客户贷款比例为5.7%。</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6、逾期贷款的账龄分析。报告期末，本行逾期贷款共计97户，逾期金额为1289万元。其中：逾期90天以内的贷款为314万元，逾期91天到360天贷款为110万元，逾期361天以上贷款为864万元。</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7、贷款重组。报告期内，没有贷款重组情况。</w:t>
      </w:r>
    </w:p>
    <w:p>
      <w:pPr>
        <w:pStyle w:val="3"/>
        <w:spacing w:line="600" w:lineRule="exact"/>
        <w:ind w:firstLine="602" w:firstLineChars="200"/>
        <w:jc w:val="both"/>
        <w:rPr>
          <w:rFonts w:ascii="仿宋" w:hAnsi="仿宋" w:eastAsia="仿宋"/>
          <w:sz w:val="30"/>
          <w:szCs w:val="30"/>
        </w:rPr>
      </w:pPr>
      <w:r>
        <w:rPr>
          <w:rStyle w:val="14"/>
          <w:rFonts w:ascii="Arial" w:hAnsi="Arial" w:eastAsia="仿宋" w:cs="Arial"/>
          <w:b/>
          <w:bCs/>
          <w:sz w:val="30"/>
          <w:szCs w:val="30"/>
        </w:rPr>
        <w:t>   </w:t>
      </w:r>
      <w:r>
        <w:rPr>
          <w:rStyle w:val="20"/>
          <w:rFonts w:ascii="Arial" w:hAnsi="Arial" w:eastAsia="仿宋" w:cs="Arial"/>
          <w:sz w:val="30"/>
          <w:szCs w:val="30"/>
        </w:rPr>
        <w:t> </w:t>
      </w:r>
      <w:bookmarkStart w:id="26" w:name="_Toc481080005"/>
      <w:r>
        <w:rPr>
          <w:rStyle w:val="14"/>
          <w:rFonts w:hint="eastAsia" w:ascii="仿宋" w:hAnsi="仿宋" w:eastAsia="仿宋" w:cs="Arial"/>
          <w:b w:val="0"/>
          <w:bCs w:val="0"/>
          <w:sz w:val="30"/>
          <w:szCs w:val="30"/>
        </w:rPr>
        <w:t>二、</w:t>
      </w:r>
      <w:bookmarkEnd w:id="26"/>
      <w:r>
        <w:rPr>
          <w:rStyle w:val="14"/>
          <w:rFonts w:hint="eastAsia" w:ascii="仿宋" w:hAnsi="仿宋" w:eastAsia="仿宋" w:cs="Arial"/>
          <w:b/>
          <w:bCs/>
          <w:sz w:val="30"/>
          <w:szCs w:val="30"/>
        </w:rPr>
        <w:t>流动性风险状况</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流动性风险指商业银行不能满足存款支取和合理的贷款发放而给银行自身业务所带来的影响</w:t>
      </w:r>
      <w:bookmarkStart w:id="27" w:name="_Toc227401527"/>
      <w:bookmarkEnd w:id="27"/>
      <w:bookmarkStart w:id="28" w:name="_Toc193883048"/>
      <w:r>
        <w:rPr>
          <w:rFonts w:hint="eastAsia" w:ascii="仿宋" w:hAnsi="仿宋" w:eastAsia="仿宋" w:cs="Tahoma"/>
          <w:sz w:val="30"/>
          <w:szCs w:val="30"/>
        </w:rPr>
        <w:t>。影响流动性的因素主要包括：“短存长贷”为特征的期限结构匹配不当是造成银行流动性风险的内在根本原因；在以存款准备金率、利率、不良贷款率为冲击因素的动态压力测试中, 存款准备金率对银行流动性冲击最大,其次才是利率的冲击,而不良贷款率因素是伴随上述冲击同时发生的。</w:t>
      </w:r>
      <w:bookmarkEnd w:id="28"/>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（一）董事会、经营管理层对流动性风险的监控能力</w:t>
      </w:r>
    </w:p>
    <w:p>
      <w:pPr>
        <w:pStyle w:val="6"/>
        <w:spacing w:before="0" w:beforeAutospacing="0" w:after="0" w:afterAutospacing="0" w:line="600" w:lineRule="exact"/>
        <w:ind w:firstLine="600" w:firstLineChars="200"/>
        <w:jc w:val="both"/>
        <w:rPr>
          <w:rFonts w:ascii="仿宋" w:hAnsi="仿宋" w:eastAsia="仿宋"/>
          <w:sz w:val="30"/>
          <w:szCs w:val="30"/>
        </w:rPr>
      </w:pPr>
      <w:bookmarkStart w:id="29" w:name="_Toc227401528"/>
      <w:bookmarkEnd w:id="29"/>
      <w:bookmarkStart w:id="30" w:name="_Toc322415023"/>
      <w:bookmarkEnd w:id="30"/>
      <w:bookmarkStart w:id="31" w:name="_Toc193883049"/>
      <w:r>
        <w:rPr>
          <w:rFonts w:hint="eastAsia" w:ascii="仿宋" w:hAnsi="仿宋" w:eastAsia="仿宋" w:cs="Tahoma"/>
          <w:sz w:val="30"/>
          <w:szCs w:val="30"/>
        </w:rPr>
        <w:t>本行董事会、经营管理层通过加强流动性风险日常监测，重点监测存款来源、贷款期限结构、现金头寸、流动性与备付率等指标的变化情况，及时发现风险，做好流动性风险预警和风险提示，开展压力测试，提示和识别风险，提前采取防范措施。</w:t>
      </w:r>
      <w:bookmarkEnd w:id="31"/>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（二）风险管理的政策和程序</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1、管理政策。本行严格遵守《商业银行法》规定的安全性、流动性、效益性的经营原则，在确保资金安全和正常流动的前提下,实现盈利。</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2、管理程序。本行计划财务部是本行流动性风险管理的监测部门，负责对流动性进行系统深入的管理和控制。在管理程序上，本行明确流动性管理的目标，包括新增存贷款、存贷比例等，计划财务部负责跟踪分析流动性需求和流动性供给，避免流动性头寸过量或不足。在日常业务管理中，计划财务部监测流动性风险,一旦发现风险达到警戒线就及时向领导报告，发出预警信号。同时，建立流动性风险处置预案,提高避险能力,一旦预警,将在限定时间内采取有效地措施进行补救,尽量把风险控制在最小范围内。</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（三）风险计量、检测和管理信息系统</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流动性风险暂无风险计量、检测和管理信息系统。</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（四）内部控制和全面审计情况</w:t>
      </w:r>
    </w:p>
    <w:p>
      <w:pPr>
        <w:spacing w:line="600" w:lineRule="exact"/>
        <w:ind w:firstLine="600" w:firstLineChars="200"/>
        <w:jc w:val="both"/>
        <w:rPr>
          <w:rFonts w:ascii="仿宋" w:hAnsi="仿宋" w:eastAsia="仿宋" w:cs="Tahoma"/>
          <w:sz w:val="30"/>
          <w:szCs w:val="30"/>
        </w:rPr>
      </w:pPr>
      <w:r>
        <w:rPr>
          <w:rFonts w:hint="eastAsia" w:ascii="仿宋" w:hAnsi="仿宋" w:eastAsia="仿宋" w:cs="Tahoma"/>
          <w:sz w:val="30"/>
          <w:szCs w:val="30"/>
        </w:rPr>
        <w:t>本行已制定《流动性风险管理办法》、《流动性风险及重大突发事件应急预案》等制度，逐步健全了应对流动性风险的预警机制，提高防范流动性风险的能力。报告期内，本行大力吸收储蓄存款，确保存款的稳定性。</w:t>
      </w:r>
      <w:bookmarkStart w:id="32" w:name="_Toc227401530"/>
      <w:bookmarkEnd w:id="32"/>
      <w:bookmarkStart w:id="33" w:name="_Toc193883052"/>
      <w:bookmarkEnd w:id="33"/>
      <w:r>
        <w:rPr>
          <w:rFonts w:hint="eastAsia" w:ascii="仿宋" w:hAnsi="仿宋" w:eastAsia="仿宋" w:cs="Tahoma"/>
          <w:sz w:val="30"/>
          <w:szCs w:val="30"/>
        </w:rPr>
        <w:t>2025年末，本行储蓄存款余额占存款余额的97.57%，其中定期储蓄存款占储蓄存款的96.93%。本行的流动性资产为62088.18万元，流动性负债为15196.90万元，资产负债比为94.12%，存贷比例为55.59%，流动性比例为408.56%，流动性缺口率62.83%，核心负债依存度为75.37%，流动性风险基本可控。</w:t>
      </w:r>
    </w:p>
    <w:p>
      <w:pPr>
        <w:pStyle w:val="6"/>
        <w:spacing w:before="0" w:beforeAutospacing="0" w:after="120" w:afterAutospacing="0" w:line="600" w:lineRule="exact"/>
        <w:ind w:left="420" w:firstLine="602" w:firstLineChars="200"/>
        <w:jc w:val="both"/>
        <w:rPr>
          <w:rFonts w:ascii="仿宋" w:hAnsi="仿宋" w:eastAsia="仿宋"/>
          <w:sz w:val="30"/>
          <w:szCs w:val="30"/>
        </w:rPr>
      </w:pPr>
      <w:r>
        <w:rPr>
          <w:rStyle w:val="14"/>
          <w:rFonts w:ascii="Tahoma" w:hAnsi="Tahoma" w:eastAsia="仿宋" w:cs="Tahoma"/>
          <w:sz w:val="30"/>
          <w:szCs w:val="30"/>
        </w:rPr>
        <w:t> </w:t>
      </w:r>
      <w:bookmarkStart w:id="34" w:name="_Toc481080006"/>
      <w:r>
        <w:rPr>
          <w:rStyle w:val="14"/>
          <w:rFonts w:hint="eastAsia" w:ascii="仿宋" w:hAnsi="仿宋" w:eastAsia="仿宋" w:cs="Tahoma"/>
          <w:sz w:val="30"/>
          <w:szCs w:val="30"/>
        </w:rPr>
        <w:t>三、</w:t>
      </w:r>
      <w:bookmarkEnd w:id="34"/>
      <w:r>
        <w:rPr>
          <w:rStyle w:val="14"/>
          <w:rFonts w:hint="eastAsia" w:ascii="仿宋" w:hAnsi="仿宋" w:eastAsia="仿宋" w:cs="Tahoma"/>
          <w:sz w:val="30"/>
          <w:szCs w:val="30"/>
        </w:rPr>
        <w:t>市场风险状况</w:t>
      </w:r>
    </w:p>
    <w:p>
      <w:pPr>
        <w:pStyle w:val="6"/>
        <w:spacing w:before="0" w:beforeAutospacing="0" w:after="0" w:afterAutospacing="0" w:line="600" w:lineRule="exact"/>
        <w:ind w:firstLine="600" w:firstLineChars="200"/>
        <w:jc w:val="both"/>
        <w:rPr>
          <w:rFonts w:ascii="仿宋" w:hAnsi="仿宋" w:eastAsia="仿宋"/>
          <w:sz w:val="30"/>
          <w:szCs w:val="30"/>
        </w:rPr>
      </w:pPr>
      <w:bookmarkStart w:id="35" w:name="_Toc227401531"/>
      <w:bookmarkEnd w:id="35"/>
      <w:bookmarkStart w:id="36" w:name="_Toc193883053"/>
      <w:r>
        <w:rPr>
          <w:rFonts w:hint="eastAsia" w:ascii="仿宋" w:hAnsi="仿宋" w:eastAsia="仿宋" w:cs="Tahoma"/>
          <w:sz w:val="30"/>
          <w:szCs w:val="30"/>
        </w:rPr>
        <w:t>市场风险是指因市场价格（利率、汇率、股票价格和商品价格）的不利变动而使本行表内和表外业务发生损失的风险。</w:t>
      </w:r>
      <w:bookmarkEnd w:id="36"/>
      <w:r>
        <w:rPr>
          <w:rFonts w:hint="eastAsia" w:ascii="仿宋" w:hAnsi="仿宋" w:eastAsia="仿宋" w:cs="Tahoma"/>
          <w:sz w:val="30"/>
          <w:szCs w:val="30"/>
        </w:rPr>
        <w:t>本行目前的主要的利润来源仍是存贷款利差，因此市场利率波动对本行财务状况和现金流量有直接的影响。为降低利率风险，本行根据利率政策和经营环境的变化，本行实行利率浮动幅度范围内的差异化定价，改进贷款定价机制，加强成本分析和管理。本行进一步加强业务创新，改善收入结构，规避利率风险。</w:t>
      </w:r>
    </w:p>
    <w:p>
      <w:pPr>
        <w:pStyle w:val="6"/>
        <w:spacing w:before="0" w:beforeAutospacing="0" w:after="0" w:afterAutospacing="0" w:line="600" w:lineRule="exact"/>
        <w:ind w:firstLine="600" w:firstLineChars="200"/>
        <w:jc w:val="both"/>
        <w:rPr>
          <w:rFonts w:ascii="仿宋" w:hAnsi="仿宋" w:eastAsia="仿宋"/>
          <w:sz w:val="30"/>
          <w:szCs w:val="30"/>
        </w:rPr>
      </w:pPr>
      <w:bookmarkStart w:id="37" w:name="_Toc322415025"/>
      <w:r>
        <w:rPr>
          <w:rFonts w:hint="eastAsia" w:ascii="仿宋" w:hAnsi="仿宋" w:eastAsia="仿宋" w:cs="Tahoma"/>
          <w:sz w:val="30"/>
          <w:szCs w:val="30"/>
        </w:rPr>
        <w:t>（一）董事会、经营管理层对市场风险的监控能力</w:t>
      </w:r>
      <w:bookmarkEnd w:id="37"/>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本行面临的市场风险主要是利率风险。为加强对利率风险的防范，本行董事会和经营管理层坚持流动性原则，以减少因贷款周期过长产生的重新定价风险；同时本行按照风险收益相匹配的原则，综合区域内资金供求状况、竞争状况及自身风险抵偿情况等因素，实行利率浮动幅度范围内的差异化定价。</w:t>
      </w:r>
    </w:p>
    <w:p>
      <w:pPr>
        <w:pStyle w:val="6"/>
        <w:spacing w:before="0" w:beforeAutospacing="0" w:after="0" w:afterAutospacing="0" w:line="600" w:lineRule="exact"/>
        <w:ind w:firstLine="600" w:firstLineChars="200"/>
        <w:jc w:val="both"/>
        <w:rPr>
          <w:rFonts w:ascii="仿宋" w:hAnsi="仿宋" w:eastAsia="仿宋"/>
          <w:sz w:val="30"/>
          <w:szCs w:val="30"/>
        </w:rPr>
      </w:pPr>
      <w:bookmarkStart w:id="38" w:name="_Toc322415026"/>
      <w:bookmarkEnd w:id="38"/>
      <w:bookmarkStart w:id="39" w:name="_Toc227401532"/>
      <w:bookmarkEnd w:id="39"/>
      <w:bookmarkStart w:id="40" w:name="_Toc193883054"/>
      <w:r>
        <w:rPr>
          <w:rFonts w:hint="eastAsia" w:ascii="仿宋" w:hAnsi="仿宋" w:eastAsia="仿宋" w:cs="Tahoma"/>
          <w:sz w:val="30"/>
          <w:szCs w:val="30"/>
        </w:rPr>
        <w:t>（二）风险管理的政策和程序</w:t>
      </w:r>
      <w:bookmarkEnd w:id="40"/>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1、管理政策。利率风险是整个金融市场中最重要的风险。本行在贷款利率定价时坚持收益覆盖风险的原则。</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2、管理程序。董事会负责审批利率定价战略，确定本行可以承受的市场风险水平，督促高级管理层采取必要的措施识别、计量、监测和控制利率风险。本行利率定价管理委员会负责制定、定期审查和监督执行利率风险管理的政策、程序以及具体的操作规程，建立和完善科学的贷款利率定价机制，规范本行人民币贷款利率管理，及时了解市场风险水平及其管理状况。高级管理层负责制定、定期审查和监督执行市场风险管理的政策、程序以及具体的操作规程，及时了解市场风险水平及其管理状况，并有效监督主管业务部门识别、计量、监测和控制各项业务所承担的各类市场风险。本行可以开展的业务有：可以交易或投资的金融工具，可以采取的投资、保值和风险缓解策略和方法；开展市场风险管理组织结构、权限结构和责任机制；市场风险资本的分配等。</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（三）风险计量、检测和管理信息系统。</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市场风险暂无风险计量、检测和管理信息系统。</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（四）内部控制和全面审计情况。</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1、内控制度建设情况</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本行已制定《临猗新田村镇银行存款利率定价管理办法》、《临猗新田村镇银行贷款利率定价管理办法》，初步建立了市场风险管理方面的基本内控规范框架制度。</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2、全面审计情况</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一是本行服务价格行为严格遵守国家法律、法规、规章和有关监管规定，遵循公开、公平、诚实、信用的原则，遵循合规收费、以质定价、公开透明、减费让利的原则，遵循“七不准”和“四公开”的原则，接受社会监督，使银行服务持续发展与承担社会责任相统一。同时，本行能及时准确向人民银行报送利率监测报备信息，积极配合人民银行做好各项有关利率政策的调研工作，未出现错报、漏报的现象。</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二是本行的存款挂牌利率和实际执行利率均不高于市场利率定价自律机制规定的存款利率浮动区间上限，存款利率浮动幅度在基准利率1.5倍以内。</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三是本行根据不同客户对象、贷款品种、贷款方式、贷款期限、风险种类等，在进行成本、风险、收益等精细化核算的基础上实行差别化定价，在本行利率浮动的范围内进行贷款定价。政策性贷款业务，如脱贫人口小额信贷等，参照人民银行近期公布的一年期LPR利率执行。贴现贷款利率参照人民银行有关规定，结合市场利率水平确定。报告期内，本行利率风险敏感度为零，符合监管要求，累计外汇敞口头寸比例为零，市场风险基本可控。</w:t>
      </w:r>
    </w:p>
    <w:p>
      <w:pPr>
        <w:pStyle w:val="3"/>
        <w:spacing w:line="600" w:lineRule="exact"/>
        <w:ind w:firstLine="602" w:firstLineChars="200"/>
        <w:jc w:val="both"/>
        <w:rPr>
          <w:rFonts w:ascii="仿宋" w:hAnsi="仿宋" w:eastAsia="仿宋"/>
          <w:sz w:val="30"/>
          <w:szCs w:val="30"/>
        </w:rPr>
      </w:pPr>
      <w:bookmarkStart w:id="41" w:name="_Toc227401535"/>
      <w:bookmarkEnd w:id="41"/>
      <w:bookmarkStart w:id="42" w:name="_Toc193883057"/>
      <w:r>
        <w:rPr>
          <w:rStyle w:val="14"/>
          <w:rFonts w:ascii="Arial" w:hAnsi="Arial" w:eastAsia="仿宋" w:cs="Arial"/>
          <w:b/>
          <w:bCs/>
          <w:sz w:val="30"/>
          <w:szCs w:val="30"/>
        </w:rPr>
        <w:t>   </w:t>
      </w:r>
      <w:r>
        <w:rPr>
          <w:rStyle w:val="20"/>
          <w:rFonts w:ascii="Arial" w:hAnsi="Arial" w:eastAsia="仿宋" w:cs="Arial"/>
          <w:sz w:val="30"/>
          <w:szCs w:val="30"/>
        </w:rPr>
        <w:t> </w:t>
      </w:r>
      <w:bookmarkEnd w:id="42"/>
      <w:bookmarkStart w:id="43" w:name="_Toc481080007"/>
      <w:r>
        <w:rPr>
          <w:rStyle w:val="14"/>
          <w:rFonts w:hint="eastAsia" w:ascii="仿宋" w:hAnsi="仿宋" w:eastAsia="仿宋" w:cs="Arial"/>
          <w:b/>
          <w:bCs/>
          <w:sz w:val="30"/>
          <w:szCs w:val="30"/>
        </w:rPr>
        <w:t>四、操作风险状况</w:t>
      </w:r>
      <w:bookmarkEnd w:id="43"/>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操作风险是指由于控制、系统及运营过程的错误或疏忽而可能引致潜在损失的风险。本行对各项业务操作制定了控制及风险管理措施，包括制度、环境、设施等方面。但任何的控制都可能因自身及外界环境的变化、当事者对某项事务的认知程度不够、制度执行不严格等原因，导致失去或减小效力，形成操作风险。</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本行坚持一级法人管理体制，已建立了股东会、董事会、监事会和高级管理层之间的权力制衡与利益制衡机制、科学决策机制与激励约束机制，形成了较为完善的经营决策、人力资源管理、风险控制、内部审计、信息披露和激励约束等运行管理体系。</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本行经营层着力完善内控体系，提高内审监督的力度，开展内部控制评估，及时、有效揭示风险隐患，实现依法合规经营。</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（一）董事会、经营管理层对风险的监控能力</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为防范操作风险，本行董事会、经营管理层贯彻落实岗位轮换、亲属回避及员工家访、员工行为排查等制度，从源头上控制操作风险的发生。</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（二）风险管理的政策和程序</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1、管理政策。本行坚持依法合规经营，制定了《临猗新田村镇银行大额风险暴露管理办法》，坚持在风险可控的前提下开展各项业务。</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2、管理程序。董事会负责确定本行可以承受的操作风险水平，督促高级管理层采取必要的措施识别、计量、监测和控制操作风险。本行经营管理层负责制定、定期审查和监督执行操作风险管理的具体的操作规程，及时了解操作风险水平及其管理状况。</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（三）内部控制和全面审计情况</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1、内部控制情况：本行严格按照《商业银行内部控制指引》等监管要求，建立健全覆盖全业务、全流程、全岗位的内部控制管理体系，明确董事会、监事会、高级管理层内控职责，构建业务部门第一道防线、风险管理与合规管理部门第二道防线、内部审计部门第三道防线的内控管理架构，确保内控机制独立有效、制衡充分。</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报告期内，本行持续完善内控制度体系，修订完善信贷管理、柜面操作、财务会计、反洗钱、信息科技、案件防控、消费者权益保护、关联交易管理等关键领域制度流程，强化重点环节风险管控。严格执行贷款“三查”制度，加强授信审批、资金支付、押品管理、风险分类等关键节点管控；规范柜面业务操作、印章凭证管理、授权管理与现金管理，严防操作风险；强化信息科技系统运维、网络安全、数据安全与业务连续性管理，保障信息系统安全稳定运行。</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本行持续开展内控自查、专项检查、案件风险排查与合规培训教育，对检查发现的问题建立台账、限期整改、跟踪督办、闭环管理，不断提升内控执行质效。报告期内，本行未发生重大内部控制缺陷、重大风险事件及违法违规案件，内部控制体系健全、合理、有效，能够充分保障本行依法合规经营和各项业务稳健运行。</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2、全面审计情况：</w:t>
      </w:r>
    </w:p>
    <w:p>
      <w:pPr>
        <w:spacing w:line="600" w:lineRule="exact"/>
        <w:ind w:firstLine="600" w:firstLineChars="200"/>
        <w:rPr>
          <w:rFonts w:ascii="仿宋" w:hAnsi="仿宋" w:eastAsia="仿宋"/>
          <w:sz w:val="30"/>
          <w:szCs w:val="30"/>
        </w:rPr>
      </w:pPr>
      <w:r>
        <w:rPr>
          <w:rFonts w:hint="eastAsia" w:ascii="仿宋" w:hAnsi="仿宋" w:eastAsia="仿宋"/>
          <w:sz w:val="30"/>
          <w:szCs w:val="30"/>
        </w:rPr>
        <w:t>本行内部审计部门独立履行审计监督职责，围绕经营管理重点、风险管控难点开展常态化审计监督。报告期内，按照年度审计计划有序开展信贷业务审计、财务收支审计、柜面业务审计、内控有效性审计、高管履职审计、信息科技审计等各类审计项目，全面排查经营管理中的薄弱环节与风险隐患。对审计发现的问题及时出具审计意见与整改通知，督促相关部门、机构逐项落实整改，完善制度流程，严肃责任追究，实现审计发现问题整改闭环管理。内部审计有效发挥了监督、评价、纠偏、赋能作用，持续提升本行风险管理与内控管理水平。</w:t>
      </w:r>
    </w:p>
    <w:p>
      <w:pPr>
        <w:spacing w:line="600" w:lineRule="exact"/>
        <w:ind w:firstLine="602" w:firstLineChars="200"/>
        <w:rPr>
          <w:rFonts w:ascii="仿宋" w:hAnsi="仿宋" w:eastAsia="仿宋"/>
          <w:sz w:val="30"/>
          <w:szCs w:val="30"/>
        </w:rPr>
      </w:pPr>
      <w:r>
        <w:rPr>
          <w:rStyle w:val="14"/>
          <w:rFonts w:hint="eastAsia" w:ascii="仿宋" w:hAnsi="仿宋" w:eastAsia="仿宋" w:cs="Arial"/>
          <w:sz w:val="30"/>
          <w:szCs w:val="30"/>
        </w:rPr>
        <w:t>五、声誉风险状况</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声誉风险是指由本行经营、管理及其他行为或外部事件导致利益相关方对本行负面评价的风险。</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（一）董事会、经营管理层对风险的监控能力</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董事会和经营管理层坚决贯彻落实有关法律法规和各项规章制度，落实责任，强化措施，通过监测、识别、评估、预警、报告及处置等程序，实现舆情信息管理，提高了声誉风险预警能力及 化解能力。</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（二）风险管理的政策和程序</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1、管理政策。本行建立健全了声誉风险管理体系，制定了《临猗新田村镇银行声誉风险管理办法》，通过日常声誉风险管理和对声誉事件的妥善处置，实现对声誉风险的有效管控。</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2、管理程序。本行董事会承担全行声誉风险管理的最终责任，经营管理层负责领导全行的声誉风险管理工作，总行风险合规部是全行声誉风险的牵头管理部门，总行各部门对本部门业务职责范围内的声誉风险管理负有直接责任，各网点负责本机构内的声誉风险管理工作。</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（三）风险计量、检测和管理信息系统</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本行暂无声誉风险计量、检测和管理信息系统。</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（四）内部控制和全面审计情况</w:t>
      </w:r>
    </w:p>
    <w:p>
      <w:pPr>
        <w:pStyle w:val="6"/>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ahoma"/>
          <w:sz w:val="30"/>
          <w:szCs w:val="30"/>
        </w:rPr>
        <w:t>本行制定了《声誉风险管理办法》、《舆情风险应急预案》，通过设立专人负责舆情监测工作，确保一旦发现负面舆情，能及时向董事会和经营管理层汇报，并积极进行多方面、多渠道处置，确保第一时间化解声誉风险。本行深入开展了服务收费行为排查、稽核检查、内部审计，规范经营行为；同时，本行充分履行信息披露义务，对于产品与服务的性质、主要风险以及收费标准等的介绍说明全面、真实。报告期内，本行声誉风险基本可控。</w:t>
      </w:r>
    </w:p>
    <w:p>
      <w:pPr>
        <w:pStyle w:val="2"/>
        <w:spacing w:before="0" w:beforeAutospacing="0" w:after="0" w:afterAutospacing="0" w:line="600" w:lineRule="exact"/>
        <w:ind w:firstLine="602" w:firstLineChars="200"/>
        <w:jc w:val="center"/>
        <w:rPr>
          <w:rStyle w:val="14"/>
          <w:rFonts w:ascii="仿宋" w:hAnsi="仿宋" w:eastAsia="仿宋"/>
          <w:b/>
          <w:bCs/>
          <w:sz w:val="30"/>
          <w:szCs w:val="30"/>
        </w:rPr>
      </w:pPr>
      <w:bookmarkStart w:id="44" w:name="_Toc227401540"/>
      <w:bookmarkEnd w:id="44"/>
      <w:bookmarkStart w:id="45" w:name="_Toc481080009"/>
      <w:bookmarkEnd w:id="45"/>
      <w:bookmarkStart w:id="46" w:name="_Toc193883062"/>
      <w:r>
        <w:rPr>
          <w:rStyle w:val="14"/>
          <w:rFonts w:hint="eastAsia" w:ascii="仿宋" w:hAnsi="仿宋" w:eastAsia="仿宋"/>
          <w:b/>
          <w:bCs/>
          <w:sz w:val="30"/>
          <w:szCs w:val="30"/>
        </w:rPr>
        <w:t>第五章</w:t>
      </w:r>
      <w:r>
        <w:rPr>
          <w:rStyle w:val="14"/>
          <w:rFonts w:hint="eastAsia"/>
          <w:b/>
          <w:bCs/>
          <w:sz w:val="30"/>
          <w:szCs w:val="30"/>
        </w:rPr>
        <w:t> </w:t>
      </w:r>
      <w:r>
        <w:rPr>
          <w:rStyle w:val="20"/>
          <w:rFonts w:hint="eastAsia"/>
          <w:sz w:val="30"/>
          <w:szCs w:val="30"/>
        </w:rPr>
        <w:t> </w:t>
      </w:r>
      <w:bookmarkEnd w:id="46"/>
      <w:r>
        <w:rPr>
          <w:rStyle w:val="14"/>
          <w:rFonts w:hint="eastAsia" w:ascii="仿宋" w:hAnsi="仿宋" w:eastAsia="仿宋"/>
          <w:b/>
          <w:bCs/>
          <w:sz w:val="30"/>
          <w:szCs w:val="30"/>
        </w:rPr>
        <w:t>公司治理情况</w:t>
      </w:r>
      <w:bookmarkStart w:id="47" w:name="_Toc227401541"/>
      <w:bookmarkEnd w:id="47"/>
      <w:bookmarkStart w:id="48" w:name="_Toc481080010"/>
    </w:p>
    <w:p>
      <w:pPr>
        <w:pStyle w:val="2"/>
        <w:spacing w:before="0" w:beforeAutospacing="0" w:after="0" w:afterAutospacing="0" w:line="600" w:lineRule="exact"/>
        <w:ind w:firstLine="600" w:firstLineChars="200"/>
        <w:rPr>
          <w:rFonts w:ascii="仿宋" w:hAnsi="仿宋" w:eastAsia="仿宋"/>
          <w:sz w:val="30"/>
          <w:szCs w:val="30"/>
        </w:rPr>
      </w:pPr>
      <w:r>
        <w:rPr>
          <w:rStyle w:val="14"/>
          <w:rFonts w:hint="eastAsia" w:ascii="仿宋" w:hAnsi="仿宋" w:eastAsia="仿宋" w:cs="Arial"/>
          <w:b w:val="0"/>
          <w:bCs w:val="0"/>
          <w:sz w:val="30"/>
          <w:szCs w:val="30"/>
        </w:rPr>
        <w:t>一、</w:t>
      </w:r>
      <w:bookmarkEnd w:id="48"/>
      <w:r>
        <w:rPr>
          <w:rStyle w:val="14"/>
          <w:rFonts w:hint="eastAsia" w:ascii="仿宋" w:hAnsi="仿宋" w:eastAsia="仿宋" w:cs="Arial"/>
          <w:b/>
          <w:bCs/>
          <w:sz w:val="30"/>
          <w:szCs w:val="30"/>
        </w:rPr>
        <w:t>经营决策体系</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本行权力机构是股东代表大会，通过支委会、董事会进行决策、管理，由监事会行使监督职能。行长对董事会负责，执行董事会的各项决议，负责本行的日常经营管理工作。本行实行一级法人体制，对行通过董事会、监事会进行管理和监督。行长受聘于董事会，负责本行日常经营管理。</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报告期内，本行不断完善股东代表大会、董事会、监事会和经营管理层独立运作、有效制衡的公司治理结构，其核心目标是在尊重和保护存款人利益的前提下，追求股东价值。</w:t>
      </w:r>
    </w:p>
    <w:p>
      <w:pPr>
        <w:pStyle w:val="3"/>
        <w:spacing w:line="600" w:lineRule="exact"/>
        <w:ind w:firstLine="600" w:firstLineChars="200"/>
        <w:jc w:val="both"/>
        <w:rPr>
          <w:rFonts w:ascii="仿宋" w:hAnsi="仿宋" w:eastAsia="仿宋"/>
          <w:sz w:val="30"/>
          <w:szCs w:val="30"/>
        </w:rPr>
      </w:pPr>
      <w:bookmarkStart w:id="49" w:name="_Toc227401542"/>
      <w:bookmarkEnd w:id="49"/>
      <w:bookmarkStart w:id="50" w:name="_Toc481080011"/>
      <w:r>
        <w:rPr>
          <w:rStyle w:val="14"/>
          <w:rFonts w:hint="eastAsia" w:ascii="仿宋" w:hAnsi="仿宋" w:eastAsia="仿宋" w:cs="Arial"/>
          <w:b w:val="0"/>
          <w:bCs w:val="0"/>
          <w:sz w:val="30"/>
          <w:szCs w:val="30"/>
        </w:rPr>
        <w:t>二、</w:t>
      </w:r>
      <w:bookmarkEnd w:id="50"/>
      <w:r>
        <w:rPr>
          <w:rStyle w:val="14"/>
          <w:rFonts w:hint="eastAsia" w:ascii="仿宋" w:hAnsi="仿宋" w:eastAsia="仿宋" w:cs="Arial"/>
          <w:b/>
          <w:bCs/>
          <w:sz w:val="30"/>
          <w:szCs w:val="30"/>
        </w:rPr>
        <w:t>年度内召开股东大会情况</w:t>
      </w:r>
    </w:p>
    <w:p>
      <w:pPr>
        <w:pStyle w:val="4"/>
        <w:spacing w:before="0" w:beforeAutospacing="0" w:after="0" w:afterAutospacing="0" w:line="600" w:lineRule="exact"/>
        <w:ind w:firstLine="600" w:firstLineChars="200"/>
        <w:jc w:val="both"/>
        <w:rPr>
          <w:rFonts w:ascii="仿宋" w:hAnsi="仿宋" w:eastAsia="仿宋"/>
          <w:sz w:val="30"/>
          <w:szCs w:val="30"/>
        </w:rPr>
      </w:pPr>
      <w:bookmarkStart w:id="51" w:name="_Toc193883065"/>
      <w:r>
        <w:rPr>
          <w:rFonts w:hint="eastAsia" w:ascii="仿宋" w:hAnsi="仿宋" w:eastAsia="仿宋"/>
          <w:sz w:val="30"/>
          <w:szCs w:val="30"/>
        </w:rPr>
        <w:t>报告期内，本行共召开了2次股东大会，会议程序符合监管要求和《章程》有关规定。</w:t>
      </w:r>
      <w:bookmarkEnd w:id="51"/>
    </w:p>
    <w:p>
      <w:pPr>
        <w:pStyle w:val="4"/>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sz w:val="30"/>
          <w:szCs w:val="30"/>
        </w:rPr>
        <w:t>一级法人体制下召开的股东大会：</w:t>
      </w:r>
    </w:p>
    <w:tbl>
      <w:tblPr>
        <w:tblStyle w:val="11"/>
        <w:tblW w:w="8786" w:type="dxa"/>
        <w:jc w:val="center"/>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15" w:type="dxa"/>
          <w:bottom w:w="15" w:type="dxa"/>
          <w:right w:w="15" w:type="dxa"/>
        </w:tblCellMar>
      </w:tblPr>
      <w:tblGrid>
        <w:gridCol w:w="1611"/>
        <w:gridCol w:w="1363"/>
        <w:gridCol w:w="5812"/>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61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line="600" w:lineRule="exact"/>
              <w:rPr>
                <w:rFonts w:ascii="仿宋" w:hAnsi="仿宋" w:eastAsia="仿宋"/>
                <w:sz w:val="30"/>
                <w:szCs w:val="30"/>
              </w:rPr>
            </w:pPr>
            <w:r>
              <w:rPr>
                <w:rStyle w:val="14"/>
                <w:rFonts w:hint="eastAsia" w:ascii="仿宋" w:hAnsi="仿宋" w:eastAsia="仿宋" w:cs="Times New Roman"/>
                <w:sz w:val="30"/>
                <w:szCs w:val="30"/>
              </w:rPr>
              <w:t>会议名称</w:t>
            </w:r>
          </w:p>
        </w:tc>
        <w:tc>
          <w:tcPr>
            <w:tcW w:w="1363" w:type="dxa"/>
            <w:tcBorders>
              <w:top w:val="single" w:color="000000" w:sz="8" w:space="0"/>
              <w:left w:val="single" w:color="auto" w:sz="8" w:space="0"/>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line="600" w:lineRule="exact"/>
              <w:ind w:firstLine="301" w:firstLineChars="100"/>
              <w:rPr>
                <w:rFonts w:ascii="仿宋" w:hAnsi="仿宋" w:eastAsia="仿宋"/>
                <w:sz w:val="30"/>
                <w:szCs w:val="30"/>
              </w:rPr>
            </w:pPr>
            <w:r>
              <w:rPr>
                <w:rStyle w:val="14"/>
                <w:rFonts w:hint="eastAsia" w:ascii="仿宋" w:hAnsi="仿宋" w:eastAsia="仿宋" w:cs="Times New Roman"/>
                <w:sz w:val="30"/>
                <w:szCs w:val="30"/>
              </w:rPr>
              <w:t>时间</w:t>
            </w:r>
          </w:p>
        </w:tc>
        <w:tc>
          <w:tcPr>
            <w:tcW w:w="5812" w:type="dxa"/>
            <w:tcBorders>
              <w:top w:val="single" w:color="000000" w:sz="8" w:space="0"/>
              <w:left w:val="single" w:color="auto" w:sz="8" w:space="0"/>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line="600" w:lineRule="exact"/>
              <w:ind w:firstLine="602" w:firstLineChars="200"/>
              <w:jc w:val="center"/>
              <w:rPr>
                <w:rFonts w:ascii="仿宋" w:hAnsi="仿宋" w:eastAsia="仿宋"/>
                <w:sz w:val="30"/>
                <w:szCs w:val="30"/>
              </w:rPr>
            </w:pPr>
            <w:r>
              <w:rPr>
                <w:rStyle w:val="14"/>
                <w:rFonts w:hint="eastAsia" w:ascii="仿宋" w:hAnsi="仿宋" w:eastAsia="仿宋" w:cs="Times New Roman"/>
                <w:sz w:val="30"/>
                <w:szCs w:val="30"/>
              </w:rPr>
              <w:t>工作情况</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PrEx>
        <w:trPr>
          <w:trHeight w:val="631" w:hRule="atLeast"/>
          <w:jc w:val="center"/>
        </w:trPr>
        <w:tc>
          <w:tcPr>
            <w:tcW w:w="1611"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rPr>
            </w:pPr>
            <w:r>
              <w:rPr>
                <w:rFonts w:hint="eastAsia" w:ascii="仿宋" w:hAnsi="仿宋" w:eastAsia="仿宋" w:cs="Times New Roman"/>
              </w:rPr>
              <w:t>2024年度股东大会</w:t>
            </w:r>
          </w:p>
        </w:tc>
        <w:tc>
          <w:tcPr>
            <w:tcW w:w="1363" w:type="dxa"/>
            <w:tcBorders>
              <w:top w:val="single" w:color="auto" w:sz="4" w:space="0"/>
              <w:left w:val="nil"/>
              <w:bottom w:val="single" w:color="auto" w:sz="4" w:space="0"/>
              <w:right w:val="single" w:color="000000" w:sz="8" w:space="0"/>
            </w:tcBorders>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rPr>
            </w:pPr>
            <w:r>
              <w:rPr>
                <w:rFonts w:hint="eastAsia" w:ascii="仿宋" w:hAnsi="仿宋" w:eastAsia="仿宋"/>
              </w:rPr>
              <w:t>2025.6.26</w:t>
            </w:r>
          </w:p>
        </w:tc>
        <w:tc>
          <w:tcPr>
            <w:tcW w:w="5812" w:type="dxa"/>
            <w:tcBorders>
              <w:top w:val="single" w:color="auto" w:sz="4" w:space="0"/>
              <w:left w:val="nil"/>
              <w:bottom w:val="single" w:color="auto" w:sz="4" w:space="0"/>
              <w:right w:val="single" w:color="000000" w:sz="8" w:space="0"/>
            </w:tcBorders>
            <w:tcMar>
              <w:top w:w="0" w:type="dxa"/>
              <w:left w:w="108" w:type="dxa"/>
              <w:bottom w:w="0" w:type="dxa"/>
              <w:right w:w="108" w:type="dxa"/>
            </w:tcMar>
            <w:vAlign w:val="center"/>
          </w:tcPr>
          <w:p>
            <w:pPr>
              <w:spacing w:line="540" w:lineRule="exact"/>
              <w:ind w:firstLine="431" w:firstLineChars="196"/>
              <w:rPr>
                <w:rFonts w:ascii="仿宋" w:hAnsi="仿宋" w:eastAsia="仿宋"/>
              </w:rPr>
            </w:pPr>
            <w:r>
              <w:rPr>
                <w:rFonts w:hint="eastAsia" w:ascii="仿宋" w:hAnsi="仿宋" w:eastAsia="仿宋" w:cs="Times New Roman"/>
              </w:rPr>
              <w:t>审议通过《关于免去范晓云同志临猗新田村镇银行董事的议案》；《关于选举王洪利同志为临猗新田村镇银行董事的议案》；《关于临猗新田村镇银行2024年度财务审计报告的议案》；《关于临猗新田村镇银行2024年度信息披露报告的议案》；《关于临猗新田村镇银行2024年度关联交易专项审计情况报告的议案》；《关于临猗新田村镇银行2024年度财务决算报告及2025年度财务预算方案（草案）的议案》；《关于临猗新田村镇银行股东程占平股权转让的议案》;</w:t>
            </w:r>
            <w:r>
              <w:rPr>
                <w:rFonts w:hint="eastAsia"/>
              </w:rPr>
              <w:t xml:space="preserve"> </w:t>
            </w:r>
            <w:r>
              <w:rPr>
                <w:rFonts w:hint="eastAsia" w:ascii="仿宋" w:hAnsi="仿宋" w:eastAsia="仿宋" w:cs="Times New Roman"/>
              </w:rPr>
              <w:t>《关于临猗新田村镇银行股东王勤生股权转让的议案》。</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15" w:type="dxa"/>
            <w:bottom w:w="15" w:type="dxa"/>
            <w:right w:w="15" w:type="dxa"/>
          </w:tblCellMar>
        </w:tblPrEx>
        <w:trPr>
          <w:trHeight w:val="631" w:hRule="atLeast"/>
          <w:jc w:val="center"/>
        </w:trPr>
        <w:tc>
          <w:tcPr>
            <w:tcW w:w="1611"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cs="Times New Roman"/>
              </w:rPr>
            </w:pPr>
            <w:r>
              <w:rPr>
                <w:rFonts w:hint="eastAsia" w:ascii="仿宋" w:hAnsi="仿宋" w:eastAsia="仿宋" w:cs="Times New Roman"/>
              </w:rPr>
              <w:t>2025年第一次临时股东大会</w:t>
            </w:r>
          </w:p>
        </w:tc>
        <w:tc>
          <w:tcPr>
            <w:tcW w:w="1363" w:type="dxa"/>
            <w:tcBorders>
              <w:top w:val="single" w:color="auto" w:sz="4" w:space="0"/>
              <w:left w:val="nil"/>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rPr>
            </w:pPr>
            <w:r>
              <w:rPr>
                <w:rFonts w:hint="eastAsia" w:ascii="仿宋" w:hAnsi="仿宋" w:eastAsia="仿宋"/>
              </w:rPr>
              <w:t>2025．9．16．</w:t>
            </w:r>
          </w:p>
        </w:tc>
        <w:tc>
          <w:tcPr>
            <w:tcW w:w="5812" w:type="dxa"/>
            <w:tcBorders>
              <w:top w:val="single" w:color="auto" w:sz="4" w:space="0"/>
              <w:left w:val="nil"/>
              <w:bottom w:val="single" w:color="000000" w:sz="8" w:space="0"/>
              <w:right w:val="single" w:color="000000" w:sz="8" w:space="0"/>
            </w:tcBorders>
            <w:tcMar>
              <w:top w:w="0" w:type="dxa"/>
              <w:left w:w="108" w:type="dxa"/>
              <w:bottom w:w="0" w:type="dxa"/>
              <w:right w:w="108" w:type="dxa"/>
            </w:tcMar>
            <w:vAlign w:val="center"/>
          </w:tcPr>
          <w:p>
            <w:pPr>
              <w:spacing w:line="540" w:lineRule="exact"/>
              <w:ind w:firstLine="431" w:firstLineChars="196"/>
              <w:rPr>
                <w:rFonts w:ascii="仿宋" w:hAnsi="仿宋" w:eastAsia="仿宋" w:cs="Times New Roman"/>
              </w:rPr>
            </w:pPr>
            <w:r>
              <w:rPr>
                <w:rFonts w:hint="eastAsia" w:ascii="仿宋" w:hAnsi="仿宋" w:eastAsia="仿宋" w:cs="Times New Roman"/>
              </w:rPr>
              <w:t>审议通过了《关于临猗新田村镇银行固定资产处置（公车）的议案》。</w:t>
            </w:r>
          </w:p>
        </w:tc>
      </w:tr>
    </w:tbl>
    <w:p>
      <w:pPr>
        <w:pStyle w:val="3"/>
        <w:spacing w:line="600" w:lineRule="exact"/>
        <w:ind w:firstLine="600" w:firstLineChars="200"/>
        <w:jc w:val="both"/>
        <w:rPr>
          <w:rFonts w:ascii="仿宋" w:hAnsi="仿宋" w:eastAsia="仿宋"/>
          <w:sz w:val="30"/>
          <w:szCs w:val="30"/>
        </w:rPr>
      </w:pPr>
      <w:bookmarkStart w:id="52" w:name="_Toc227401547"/>
      <w:bookmarkEnd w:id="52"/>
      <w:bookmarkStart w:id="53" w:name="_Toc481080012"/>
      <w:r>
        <w:rPr>
          <w:rStyle w:val="14"/>
          <w:rFonts w:hint="eastAsia" w:ascii="仿宋" w:hAnsi="仿宋" w:eastAsia="仿宋" w:cs="Arial"/>
          <w:b w:val="0"/>
          <w:bCs w:val="0"/>
          <w:sz w:val="30"/>
          <w:szCs w:val="30"/>
        </w:rPr>
        <w:t>三、</w:t>
      </w:r>
      <w:bookmarkEnd w:id="53"/>
      <w:r>
        <w:rPr>
          <w:rStyle w:val="14"/>
          <w:rFonts w:hint="eastAsia" w:ascii="仿宋" w:hAnsi="仿宋" w:eastAsia="仿宋" w:cs="Arial"/>
          <w:b/>
          <w:bCs/>
          <w:sz w:val="30"/>
          <w:szCs w:val="30"/>
        </w:rPr>
        <w:t>董事会的构成及其工作情况</w:t>
      </w:r>
    </w:p>
    <w:p>
      <w:pPr>
        <w:pStyle w:val="10"/>
        <w:spacing w:before="0" w:beforeAutospacing="0" w:after="0" w:afterAutospacing="0" w:line="600" w:lineRule="exact"/>
        <w:ind w:firstLine="600" w:firstLineChars="200"/>
        <w:jc w:val="both"/>
        <w:rPr>
          <w:rFonts w:ascii="仿宋" w:hAnsi="仿宋" w:eastAsia="仿宋" w:cs="Times New Roman"/>
          <w:sz w:val="30"/>
          <w:szCs w:val="30"/>
        </w:rPr>
      </w:pPr>
      <w:bookmarkStart w:id="54" w:name="_Toc193883071"/>
      <w:bookmarkEnd w:id="54"/>
      <w:bookmarkStart w:id="55" w:name="_Toc227401548"/>
      <w:r>
        <w:rPr>
          <w:rFonts w:hint="eastAsia" w:ascii="仿宋" w:hAnsi="仿宋" w:eastAsia="仿宋" w:cs="Times New Roman"/>
          <w:sz w:val="30"/>
          <w:szCs w:val="30"/>
        </w:rPr>
        <w:t>（一）董事会的构成情况</w:t>
      </w:r>
      <w:bookmarkEnd w:id="55"/>
    </w:p>
    <w:p>
      <w:pPr>
        <w:pStyle w:val="10"/>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本行严格按照《章程》规定的董事任职资格和选聘程序选举董事，董事会的人数和人员构成符合法律法规的要求。报告期末，本行董事会由5名董事组成。</w:t>
      </w:r>
    </w:p>
    <w:tbl>
      <w:tblPr>
        <w:tblStyle w:val="11"/>
        <w:tblW w:w="9224" w:type="dxa"/>
        <w:jc w:val="center"/>
        <w:tblInd w:w="-216"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
      <w:tblGrid>
        <w:gridCol w:w="1026"/>
        <w:gridCol w:w="709"/>
        <w:gridCol w:w="851"/>
        <w:gridCol w:w="2680"/>
        <w:gridCol w:w="2105"/>
        <w:gridCol w:w="185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130" w:hRule="atLeast"/>
          <w:jc w:val="center"/>
        </w:trPr>
        <w:tc>
          <w:tcPr>
            <w:tcW w:w="10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Style w:val="14"/>
                <w:rFonts w:hint="eastAsia" w:ascii="仿宋" w:hAnsi="仿宋" w:eastAsia="仿宋" w:cs="Times New Roman"/>
              </w:rPr>
              <w:t>姓名</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Style w:val="14"/>
                <w:rFonts w:hint="eastAsia" w:ascii="仿宋" w:hAnsi="仿宋" w:eastAsia="仿宋" w:cs="Times New Roman"/>
              </w:rPr>
              <w:t>性别</w:t>
            </w: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Style w:val="14"/>
                <w:rFonts w:hint="eastAsia" w:ascii="仿宋" w:hAnsi="仿宋" w:eastAsia="仿宋" w:cs="Times New Roman"/>
              </w:rPr>
              <w:t>学历</w:t>
            </w:r>
          </w:p>
        </w:tc>
        <w:tc>
          <w:tcPr>
            <w:tcW w:w="2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Style w:val="14"/>
                <w:rFonts w:hint="eastAsia" w:ascii="仿宋" w:hAnsi="仿宋" w:eastAsia="仿宋" w:cs="Times New Roman"/>
              </w:rPr>
              <w:t>社会职务</w:t>
            </w:r>
          </w:p>
        </w:tc>
        <w:tc>
          <w:tcPr>
            <w:tcW w:w="21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Style w:val="14"/>
                <w:rFonts w:hint="eastAsia" w:ascii="仿宋" w:hAnsi="仿宋" w:eastAsia="仿宋" w:cs="Times New Roman"/>
              </w:rPr>
              <w:t>本行职务</w:t>
            </w:r>
          </w:p>
        </w:tc>
        <w:tc>
          <w:tcPr>
            <w:tcW w:w="18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Style w:val="14"/>
                <w:rFonts w:hint="eastAsia" w:ascii="仿宋" w:hAnsi="仿宋" w:eastAsia="仿宋" w:cs="Times New Roman"/>
              </w:rPr>
              <w:t>代表的股权类别</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1051" w:hRule="atLeast"/>
          <w:jc w:val="center"/>
        </w:trPr>
        <w:tc>
          <w:tcPr>
            <w:tcW w:w="10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范晓云</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女</w:t>
            </w: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本科</w:t>
            </w:r>
          </w:p>
        </w:tc>
        <w:tc>
          <w:tcPr>
            <w:tcW w:w="2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临猗县新田村镇银行股份有限公司董事长</w:t>
            </w:r>
          </w:p>
        </w:tc>
        <w:tc>
          <w:tcPr>
            <w:tcW w:w="21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董事长（2025年5月前）</w:t>
            </w:r>
          </w:p>
        </w:tc>
        <w:tc>
          <w:tcPr>
            <w:tcW w:w="18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本行</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841" w:hRule="atLeast"/>
          <w:jc w:val="center"/>
        </w:trPr>
        <w:tc>
          <w:tcPr>
            <w:tcW w:w="10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cs="Times New Roman"/>
              </w:rPr>
            </w:pPr>
            <w:r>
              <w:rPr>
                <w:rFonts w:hint="eastAsia" w:ascii="仿宋" w:hAnsi="仿宋" w:eastAsia="仿宋" w:cs="Times New Roman"/>
              </w:rPr>
              <w:t>王洪利</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cs="Times New Roman"/>
              </w:rPr>
            </w:pPr>
            <w:r>
              <w:rPr>
                <w:rFonts w:hint="eastAsia" w:ascii="仿宋" w:hAnsi="仿宋" w:eastAsia="仿宋" w:cs="Times New Roman"/>
              </w:rPr>
              <w:t>男</w:t>
            </w: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cs="Times New Roman"/>
              </w:rPr>
            </w:pPr>
            <w:r>
              <w:rPr>
                <w:rFonts w:hint="eastAsia" w:ascii="仿宋" w:hAnsi="仿宋" w:eastAsia="仿宋" w:cs="Times New Roman"/>
              </w:rPr>
              <w:t>本科</w:t>
            </w:r>
          </w:p>
        </w:tc>
        <w:tc>
          <w:tcPr>
            <w:tcW w:w="2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cs="Times New Roman"/>
              </w:rPr>
            </w:pPr>
            <w:r>
              <w:rPr>
                <w:rFonts w:hint="eastAsia" w:ascii="仿宋" w:hAnsi="仿宋" w:eastAsia="仿宋" w:cs="Times New Roman"/>
              </w:rPr>
              <w:t>临猗县新田村镇银行股份有限公司拟任董事长</w:t>
            </w:r>
          </w:p>
        </w:tc>
        <w:tc>
          <w:tcPr>
            <w:tcW w:w="21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cs="Times New Roman"/>
              </w:rPr>
            </w:pPr>
            <w:r>
              <w:rPr>
                <w:rFonts w:hint="eastAsia" w:ascii="仿宋" w:hAnsi="仿宋" w:eastAsia="仿宋" w:cs="Times New Roman"/>
              </w:rPr>
              <w:t>拟任董事长（2025年5月）</w:t>
            </w:r>
          </w:p>
        </w:tc>
        <w:tc>
          <w:tcPr>
            <w:tcW w:w="18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cs="Times New Roman"/>
              </w:rPr>
            </w:pPr>
            <w:r>
              <w:rPr>
                <w:rFonts w:hint="eastAsia" w:ascii="仿宋" w:hAnsi="仿宋" w:eastAsia="仿宋" w:cs="Times New Roman"/>
              </w:rPr>
              <w:t>本行</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841" w:hRule="atLeast"/>
          <w:jc w:val="center"/>
        </w:trPr>
        <w:tc>
          <w:tcPr>
            <w:tcW w:w="10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薛胜利</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男</w:t>
            </w: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本科</w:t>
            </w:r>
          </w:p>
        </w:tc>
        <w:tc>
          <w:tcPr>
            <w:tcW w:w="2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山西昌泰动物有限责任公司总经理</w:t>
            </w:r>
          </w:p>
        </w:tc>
        <w:tc>
          <w:tcPr>
            <w:tcW w:w="21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董事</w:t>
            </w:r>
          </w:p>
        </w:tc>
        <w:tc>
          <w:tcPr>
            <w:tcW w:w="18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自然人股东</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846" w:hRule="atLeast"/>
          <w:jc w:val="center"/>
        </w:trPr>
        <w:tc>
          <w:tcPr>
            <w:tcW w:w="10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杨长锁</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男</w:t>
            </w: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大专</w:t>
            </w:r>
          </w:p>
        </w:tc>
        <w:tc>
          <w:tcPr>
            <w:tcW w:w="2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耽子长锁预制构件厂总经理</w:t>
            </w:r>
          </w:p>
        </w:tc>
        <w:tc>
          <w:tcPr>
            <w:tcW w:w="21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董事</w:t>
            </w:r>
          </w:p>
        </w:tc>
        <w:tc>
          <w:tcPr>
            <w:tcW w:w="18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自然人股东</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307" w:hRule="atLeast"/>
          <w:jc w:val="center"/>
        </w:trPr>
        <w:tc>
          <w:tcPr>
            <w:tcW w:w="10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袁淑兰</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女</w:t>
            </w: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本科</w:t>
            </w:r>
          </w:p>
        </w:tc>
        <w:tc>
          <w:tcPr>
            <w:tcW w:w="2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rPr>
              <w:t>个体</w:t>
            </w:r>
          </w:p>
        </w:tc>
        <w:tc>
          <w:tcPr>
            <w:tcW w:w="21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董事</w:t>
            </w:r>
          </w:p>
        </w:tc>
        <w:tc>
          <w:tcPr>
            <w:tcW w:w="18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自然人股东</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935" w:hRule="atLeast"/>
          <w:jc w:val="center"/>
        </w:trPr>
        <w:tc>
          <w:tcPr>
            <w:tcW w:w="102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刘彩红</w:t>
            </w:r>
          </w:p>
        </w:tc>
        <w:tc>
          <w:tcPr>
            <w:tcW w:w="709"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女</w:t>
            </w:r>
          </w:p>
        </w:tc>
        <w:tc>
          <w:tcPr>
            <w:tcW w:w="85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本科</w:t>
            </w:r>
          </w:p>
        </w:tc>
        <w:tc>
          <w:tcPr>
            <w:tcW w:w="268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rPr>
              <w:t>侯马市尚雅贸易有限公司 财务经理</w:t>
            </w:r>
          </w:p>
        </w:tc>
        <w:tc>
          <w:tcPr>
            <w:tcW w:w="210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董事</w:t>
            </w:r>
          </w:p>
        </w:tc>
        <w:tc>
          <w:tcPr>
            <w:tcW w:w="185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自然人股东</w:t>
            </w:r>
          </w:p>
        </w:tc>
      </w:tr>
    </w:tbl>
    <w:p>
      <w:pPr>
        <w:pStyle w:val="10"/>
        <w:spacing w:before="0" w:beforeAutospacing="0" w:after="0" w:afterAutospacing="0" w:line="600" w:lineRule="exact"/>
        <w:ind w:firstLine="600" w:firstLineChars="200"/>
        <w:jc w:val="both"/>
        <w:rPr>
          <w:rFonts w:ascii="仿宋" w:hAnsi="仿宋" w:eastAsia="仿宋"/>
          <w:sz w:val="30"/>
          <w:szCs w:val="30"/>
        </w:rPr>
      </w:pPr>
      <w:bookmarkStart w:id="56" w:name="_Toc227401549"/>
      <w:bookmarkEnd w:id="56"/>
      <w:bookmarkStart w:id="57" w:name="_（二）理事会工作情况"/>
      <w:bookmarkEnd w:id="57"/>
      <w:bookmarkStart w:id="58" w:name="_Toc193883072"/>
      <w:bookmarkEnd w:id="58"/>
      <w:r>
        <w:rPr>
          <w:rFonts w:hint="eastAsia" w:ascii="仿宋" w:hAnsi="仿宋" w:eastAsia="仿宋" w:cs="Times New Roman"/>
          <w:sz w:val="30"/>
          <w:szCs w:val="30"/>
        </w:rPr>
        <w:t>（二）董事会工作情况</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报告期内，本行共召开了3次董事会，会议程序符合监管要求和《章程》有关规定。</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一级法人体制下召开的董事会：</w:t>
      </w:r>
    </w:p>
    <w:tbl>
      <w:tblPr>
        <w:tblStyle w:val="11"/>
        <w:tblW w:w="10144" w:type="dxa"/>
        <w:jc w:val="center"/>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15" w:type="dxa"/>
          <w:bottom w:w="15" w:type="dxa"/>
          <w:right w:w="15" w:type="dxa"/>
        </w:tblCellMar>
      </w:tblPr>
      <w:tblGrid>
        <w:gridCol w:w="1356"/>
        <w:gridCol w:w="1134"/>
        <w:gridCol w:w="7654"/>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15" w:type="dxa"/>
            <w:bottom w:w="15" w:type="dxa"/>
            <w:right w:w="15" w:type="dxa"/>
          </w:tblCellMar>
        </w:tblPrEx>
        <w:trPr>
          <w:trHeight w:val="847" w:hRule="atLeast"/>
          <w:jc w:val="center"/>
        </w:trPr>
        <w:tc>
          <w:tcPr>
            <w:tcW w:w="1356" w:type="dxa"/>
            <w:tcBorders>
              <w:top w:val="single" w:color="000000" w:sz="8"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pStyle w:val="10"/>
              <w:spacing w:before="0" w:beforeAutospacing="0" w:after="0" w:afterAutospacing="0" w:line="600" w:lineRule="exact"/>
              <w:rPr>
                <w:rFonts w:ascii="仿宋" w:hAnsi="仿宋" w:eastAsia="仿宋"/>
              </w:rPr>
            </w:pPr>
            <w:r>
              <w:rPr>
                <w:rStyle w:val="14"/>
                <w:rFonts w:hint="eastAsia" w:ascii="仿宋" w:hAnsi="仿宋" w:eastAsia="仿宋" w:cs="Times New Roman"/>
              </w:rPr>
              <w:t>会议名称</w:t>
            </w:r>
          </w:p>
        </w:tc>
        <w:tc>
          <w:tcPr>
            <w:tcW w:w="1134" w:type="dxa"/>
            <w:tcBorders>
              <w:top w:val="single" w:color="000000" w:sz="8" w:space="0"/>
              <w:left w:val="single" w:color="auto" w:sz="8" w:space="0"/>
              <w:bottom w:val="single" w:color="auto" w:sz="4" w:space="0"/>
              <w:right w:val="single" w:color="000000" w:sz="8" w:space="0"/>
            </w:tcBorders>
            <w:tcMar>
              <w:top w:w="0" w:type="dxa"/>
              <w:left w:w="108" w:type="dxa"/>
              <w:bottom w:w="0" w:type="dxa"/>
              <w:right w:w="108" w:type="dxa"/>
            </w:tcMar>
            <w:vAlign w:val="center"/>
          </w:tcPr>
          <w:p>
            <w:pPr>
              <w:pStyle w:val="10"/>
              <w:spacing w:before="0" w:beforeAutospacing="0" w:after="0" w:afterAutospacing="0" w:line="600" w:lineRule="exact"/>
              <w:rPr>
                <w:rFonts w:ascii="仿宋" w:hAnsi="仿宋" w:eastAsia="仿宋"/>
              </w:rPr>
            </w:pPr>
            <w:r>
              <w:rPr>
                <w:rStyle w:val="14"/>
                <w:rFonts w:hint="eastAsia" w:ascii="仿宋" w:hAnsi="仿宋" w:eastAsia="仿宋" w:cs="Times New Roman"/>
              </w:rPr>
              <w:t>时间</w:t>
            </w:r>
          </w:p>
        </w:tc>
        <w:tc>
          <w:tcPr>
            <w:tcW w:w="7654" w:type="dxa"/>
            <w:tcBorders>
              <w:top w:val="single" w:color="000000" w:sz="8" w:space="0"/>
              <w:left w:val="single" w:color="auto" w:sz="8" w:space="0"/>
              <w:bottom w:val="single" w:color="auto" w:sz="4" w:space="0"/>
              <w:right w:val="single" w:color="000000" w:sz="8" w:space="0"/>
            </w:tcBorders>
            <w:tcMar>
              <w:top w:w="0" w:type="dxa"/>
              <w:left w:w="108" w:type="dxa"/>
              <w:bottom w:w="0" w:type="dxa"/>
              <w:right w:w="108" w:type="dxa"/>
            </w:tcMar>
            <w:vAlign w:val="center"/>
          </w:tcPr>
          <w:p>
            <w:pPr>
              <w:pStyle w:val="10"/>
              <w:spacing w:before="0" w:beforeAutospacing="0" w:after="0" w:afterAutospacing="0" w:line="600" w:lineRule="exact"/>
              <w:ind w:firstLine="482" w:firstLineChars="200"/>
              <w:jc w:val="center"/>
              <w:rPr>
                <w:rFonts w:ascii="仿宋" w:hAnsi="仿宋" w:eastAsia="仿宋"/>
              </w:rPr>
            </w:pPr>
            <w:r>
              <w:rPr>
                <w:rStyle w:val="14"/>
                <w:rFonts w:hint="eastAsia" w:ascii="仿宋" w:hAnsi="仿宋" w:eastAsia="仿宋" w:cs="Times New Roman"/>
              </w:rPr>
              <w:t>工作情况</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15" w:type="dxa"/>
            <w:bottom w:w="15" w:type="dxa"/>
            <w:right w:w="15" w:type="dxa"/>
          </w:tblCellMar>
        </w:tblPrEx>
        <w:trPr>
          <w:trHeight w:val="801" w:hRule="atLeast"/>
          <w:jc w:val="center"/>
        </w:trPr>
        <w:tc>
          <w:tcPr>
            <w:tcW w:w="135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cs="Times New Roman"/>
              </w:rPr>
              <w:t>第四届第四次董事会</w:t>
            </w:r>
          </w:p>
        </w:tc>
        <w:tc>
          <w:tcPr>
            <w:tcW w:w="1134" w:type="dxa"/>
            <w:tcBorders>
              <w:top w:val="nil"/>
              <w:left w:val="nil"/>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cs="Times New Roman"/>
              </w:rPr>
              <w:t>2025.6.3</w:t>
            </w:r>
          </w:p>
        </w:tc>
        <w:tc>
          <w:tcPr>
            <w:tcW w:w="7654" w:type="dxa"/>
            <w:tcBorders>
              <w:top w:val="nil"/>
              <w:left w:val="nil"/>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rPr>
                <w:rFonts w:ascii="仿宋" w:hAnsi="仿宋" w:eastAsia="仿宋"/>
              </w:rPr>
            </w:pPr>
            <w:r>
              <w:rPr>
                <w:rFonts w:hint="eastAsia" w:ascii="仿宋" w:hAnsi="仿宋" w:eastAsia="仿宋" w:cs="Times New Roman"/>
              </w:rPr>
              <w:t>审议通过了《关于范晓云同志辞去临猗新田村镇银行董事、董事长等职务，同时增补一名董事的议案》；《关于临猗新田村镇银行行长助理乔舒梦同志信贷审批权限的议案》；《关于临猗新田村镇银行副行长巨乐乐同志财务审批权限的议案》；《关于临猗新田村镇银行2024年度财务审计报告的议案》；《关于临猗新田村镇银行2024年度信息披露报告的议案》；《关于临猗新田村镇银行2024年度关联交易专项审计情况报告的议案》；《关于临猗新田村镇银行2024年度财务决算报告及2025年度财务预算方案（草案）的议案》；《关于临猗新田村镇银行股东程占平股权转让的议案》；《关于临猗新田村镇银行股东王勤生股权转让的议案》；《关于临猗新田村镇银行2024年度内部控制评价报告的议案》；《关于临猗新田村镇银行2024年度全面风险管理评估报告的议案》；《关于提议召开临猗新田村镇银行2024年股东大会的议案》。</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135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cs="Times New Roman"/>
              </w:rPr>
            </w:pPr>
            <w:r>
              <w:rPr>
                <w:rFonts w:hint="eastAsia" w:ascii="仿宋" w:hAnsi="仿宋" w:eastAsia="仿宋" w:cs="Times New Roman"/>
              </w:rPr>
              <w:t>第四届第五次董事会</w:t>
            </w:r>
          </w:p>
        </w:tc>
        <w:tc>
          <w:tcPr>
            <w:tcW w:w="1134" w:type="dxa"/>
            <w:tcBorders>
              <w:top w:val="nil"/>
              <w:left w:val="nil"/>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cs="Times New Roman"/>
              </w:rPr>
            </w:pPr>
            <w:r>
              <w:rPr>
                <w:rFonts w:hint="eastAsia" w:ascii="仿宋" w:hAnsi="仿宋" w:eastAsia="仿宋" w:cs="Times New Roman"/>
              </w:rPr>
              <w:t>2025.6.26</w:t>
            </w:r>
          </w:p>
        </w:tc>
        <w:tc>
          <w:tcPr>
            <w:tcW w:w="7654" w:type="dxa"/>
            <w:tcBorders>
              <w:top w:val="nil"/>
              <w:left w:val="nil"/>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rPr>
                <w:rFonts w:ascii="仿宋" w:hAnsi="仿宋" w:eastAsia="仿宋" w:cs="Times New Roman"/>
              </w:rPr>
            </w:pPr>
            <w:r>
              <w:rPr>
                <w:rFonts w:hint="eastAsia" w:ascii="仿宋" w:hAnsi="仿宋" w:eastAsia="仿宋" w:cs="Times New Roman"/>
              </w:rPr>
              <w:t>审议通过了《关于提名王洪利同志拟担任临猗新田村镇银行本届董事会董事长的议案》；《关于临猗新田村镇银行高管职责分工的议案》；《关于临猗新田村镇银行发展战略规划委员会成员变更的议案》；《关于临猗新田村镇银行关联交易控制委员会成员变更的议案》；《关于临猗新田村镇银行消费者权益保护委员会成员变更的议案》；《关于临猗新田村镇银行提名委员会成员变更的议案》；《关于临猗新田村镇银行审计委员会成员变更的议案》；《关于临猗新田村镇银行2024年金融消费者权益保护工作审计报告的议案》；《关于临猗新田村银行2024年反洗钱和反恐怖融资年度报告的议案》；《关于临猗新田村镇银行网络防火墙、入侵防御设备续保的议案》；《关于临猗新田村镇银行总行房租费用的议案》；《关于临猗新田村银行安全保卫管理基本制度的议案》；《关于临猗新田村银行信贷管理基本制度的议案》；《关于临猗新田村银行财务管理基本制度的议案》。</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15" w:type="dxa"/>
            <w:bottom w:w="15" w:type="dxa"/>
            <w:right w:w="15" w:type="dxa"/>
          </w:tblCellMar>
        </w:tblPrEx>
        <w:trPr>
          <w:trHeight w:val="834" w:hRule="atLeast"/>
          <w:jc w:val="center"/>
        </w:trPr>
        <w:tc>
          <w:tcPr>
            <w:tcW w:w="1356"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cs="Times New Roman"/>
              </w:rPr>
            </w:pPr>
            <w:r>
              <w:rPr>
                <w:rFonts w:hint="eastAsia" w:ascii="仿宋" w:hAnsi="仿宋" w:eastAsia="仿宋" w:cs="Times New Roman"/>
              </w:rPr>
              <w:t>第四届第六次董事会</w:t>
            </w:r>
          </w:p>
        </w:tc>
        <w:tc>
          <w:tcPr>
            <w:tcW w:w="1134" w:type="dxa"/>
            <w:tcBorders>
              <w:top w:val="single" w:color="auto" w:sz="4" w:space="0"/>
              <w:left w:val="nil"/>
              <w:bottom w:val="single" w:color="auto" w:sz="4" w:space="0"/>
              <w:right w:val="single" w:color="000000" w:sz="8"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cs="Times New Roman"/>
              </w:rPr>
            </w:pPr>
            <w:r>
              <w:rPr>
                <w:rFonts w:hint="eastAsia" w:ascii="仿宋" w:hAnsi="仿宋" w:eastAsia="仿宋" w:cs="Times New Roman"/>
              </w:rPr>
              <w:t>2025.9.9</w:t>
            </w:r>
          </w:p>
        </w:tc>
        <w:tc>
          <w:tcPr>
            <w:tcW w:w="7654" w:type="dxa"/>
            <w:tcBorders>
              <w:top w:val="single" w:color="auto" w:sz="4" w:space="0"/>
              <w:left w:val="nil"/>
              <w:bottom w:val="single" w:color="auto" w:sz="4" w:space="0"/>
              <w:right w:val="single" w:color="000000" w:sz="8" w:space="0"/>
            </w:tcBorders>
            <w:tcMar>
              <w:top w:w="0" w:type="dxa"/>
              <w:left w:w="108" w:type="dxa"/>
              <w:bottom w:w="0" w:type="dxa"/>
              <w:right w:w="108" w:type="dxa"/>
            </w:tcMar>
            <w:vAlign w:val="center"/>
          </w:tcPr>
          <w:p>
            <w:pPr>
              <w:pStyle w:val="10"/>
              <w:spacing w:before="0" w:beforeAutospacing="0" w:after="0" w:afterAutospacing="0"/>
              <w:rPr>
                <w:rFonts w:ascii="仿宋" w:hAnsi="仿宋" w:eastAsia="仿宋" w:cs="Times New Roman"/>
              </w:rPr>
            </w:pPr>
            <w:r>
              <w:rPr>
                <w:rFonts w:hint="eastAsia" w:ascii="仿宋" w:hAnsi="仿宋" w:eastAsia="仿宋" w:cs="Times New Roman"/>
              </w:rPr>
              <w:t>审议通过了《关于贾孟辉同志辞去临猗新田村镇银行行长职务的议案》；《关于巨乐乐同志辞去临猗新田村镇银行副行长职务的议案》；《关于提名乔舒梦同志拟担任临猗新田村镇银行行长的议案》 ；《关于提名石书伟同志拟担任临猗新田村镇银行副行长的议案》 ；《关于提名陈晨同志拟担任临猗新田村镇银行副行长的议案》；《关于临猗新田村镇银行拟任行长乔舒梦同志信贷、财务审批权限的议案》；《关于临猗新田村镇银行拟任副行长石书伟同志信贷审批权限的议案》；《关于临猗新田村镇银行拟任副行长陈晨同志财务审批权限的议案》；《关于临猗新田村镇银行高管职责分工的议案》；《关于成立临猗新田村镇银行固定资产购建与处置管理委员会的议案》；《关于成立临猗新田村镇银行集中采购管理委员会的议案》；《关于临猗新田村镇银行固定资产处置（公车）的议案》 ；《关于临猗新田村镇银行2025年上半年全面风险管理评估报告的议案》。</w:t>
            </w:r>
          </w:p>
        </w:tc>
      </w:tr>
    </w:tbl>
    <w:p>
      <w:pPr>
        <w:pStyle w:val="3"/>
        <w:spacing w:line="500" w:lineRule="exact"/>
        <w:ind w:firstLine="602" w:firstLineChars="200"/>
        <w:jc w:val="both"/>
        <w:rPr>
          <w:rFonts w:ascii="仿宋" w:hAnsi="仿宋" w:eastAsia="仿宋"/>
          <w:sz w:val="30"/>
          <w:szCs w:val="30"/>
        </w:rPr>
      </w:pPr>
      <w:bookmarkStart w:id="59" w:name="_Toc227401550"/>
      <w:bookmarkEnd w:id="59"/>
      <w:bookmarkStart w:id="60" w:name="_Toc193883077"/>
      <w:bookmarkEnd w:id="60"/>
      <w:bookmarkStart w:id="61" w:name="_Toc481080013"/>
      <w:bookmarkEnd w:id="61"/>
      <w:r>
        <w:rPr>
          <w:rStyle w:val="14"/>
          <w:rFonts w:hint="eastAsia" w:ascii="仿宋" w:hAnsi="仿宋" w:eastAsia="仿宋" w:cs="Arial"/>
          <w:b/>
          <w:bCs/>
          <w:sz w:val="30"/>
          <w:szCs w:val="30"/>
        </w:rPr>
        <w:t>四、监事会的构成及其工作情况</w:t>
      </w:r>
    </w:p>
    <w:p>
      <w:pPr>
        <w:pStyle w:val="1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（一）监事会的构成情况</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本行监事的任职资格和选聘程序、监事会的人数和人员构成均符合《章程》的规定要求。报告期末，本行监事会由3名监事组成。</w:t>
      </w:r>
    </w:p>
    <w:tbl>
      <w:tblPr>
        <w:tblStyle w:val="11"/>
        <w:tblW w:w="944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994"/>
        <w:gridCol w:w="767"/>
        <w:gridCol w:w="700"/>
        <w:gridCol w:w="3632"/>
        <w:gridCol w:w="1708"/>
        <w:gridCol w:w="164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583" w:hRule="atLeast"/>
          <w:jc w:val="center"/>
        </w:trPr>
        <w:tc>
          <w:tcPr>
            <w:tcW w:w="994" w:type="dxa"/>
            <w:tcBorders>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Style w:val="14"/>
                <w:rFonts w:hint="eastAsia" w:ascii="仿宋" w:hAnsi="仿宋" w:eastAsia="仿宋" w:cs="Times New Roman"/>
              </w:rPr>
              <w:t>姓名</w:t>
            </w:r>
          </w:p>
        </w:tc>
        <w:tc>
          <w:tcPr>
            <w:tcW w:w="767" w:type="dxa"/>
            <w:tcBorders>
              <w:left w:val="single" w:color="auto" w:sz="4" w:space="0"/>
              <w:bottom w:val="single" w:color="auto" w:sz="4" w:space="0"/>
              <w:right w:val="single" w:color="DDDDDD" w:sz="8"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Style w:val="14"/>
                <w:rFonts w:hint="eastAsia" w:ascii="仿宋" w:hAnsi="仿宋" w:eastAsia="仿宋" w:cs="Times New Roman"/>
              </w:rPr>
              <w:t>性别</w:t>
            </w:r>
          </w:p>
        </w:tc>
        <w:tc>
          <w:tcPr>
            <w:tcW w:w="700" w:type="dxa"/>
            <w:tcBorders>
              <w:left w:val="single" w:color="auto" w:sz="8"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Style w:val="14"/>
                <w:rFonts w:hint="eastAsia" w:ascii="仿宋" w:hAnsi="仿宋" w:eastAsia="仿宋" w:cs="Times New Roman"/>
              </w:rPr>
              <w:t>学历</w:t>
            </w:r>
          </w:p>
        </w:tc>
        <w:tc>
          <w:tcPr>
            <w:tcW w:w="3632" w:type="dxa"/>
            <w:tcBorders>
              <w:left w:val="single" w:color="auto" w:sz="4" w:space="0"/>
              <w:bottom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Style w:val="14"/>
                <w:rFonts w:ascii="仿宋" w:hAnsi="仿宋" w:eastAsia="仿宋" w:cs="Times New Roman"/>
              </w:rPr>
            </w:pPr>
            <w:r>
              <w:rPr>
                <w:rStyle w:val="14"/>
                <w:rFonts w:hint="eastAsia" w:ascii="仿宋" w:hAnsi="仿宋" w:eastAsia="仿宋" w:cs="Times New Roman"/>
              </w:rPr>
              <w:t>社会职务</w:t>
            </w:r>
          </w:p>
        </w:tc>
        <w:tc>
          <w:tcPr>
            <w:tcW w:w="1708" w:type="dxa"/>
            <w:tcBorders>
              <w:left w:val="single" w:color="auto" w:sz="4" w:space="0"/>
              <w:bottom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Style w:val="14"/>
                <w:rFonts w:ascii="仿宋" w:hAnsi="仿宋" w:eastAsia="仿宋" w:cs="Times New Roman"/>
              </w:rPr>
            </w:pPr>
            <w:r>
              <w:rPr>
                <w:rStyle w:val="14"/>
                <w:rFonts w:hint="eastAsia" w:ascii="仿宋" w:hAnsi="仿宋" w:eastAsia="仿宋" w:cs="Times New Roman"/>
              </w:rPr>
              <w:t>本行职务</w:t>
            </w:r>
          </w:p>
        </w:tc>
        <w:tc>
          <w:tcPr>
            <w:tcW w:w="1646" w:type="dxa"/>
            <w:tcBorders>
              <w:left w:val="single" w:color="auto" w:sz="4" w:space="0"/>
              <w:bottom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Style w:val="14"/>
                <w:rFonts w:hint="eastAsia" w:ascii="仿宋" w:hAnsi="仿宋" w:eastAsia="仿宋" w:cs="Times New Roman"/>
              </w:rPr>
              <w:t>代表的股权类别</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583" w:hRule="atLeast"/>
          <w:jc w:val="center"/>
        </w:trPr>
        <w:tc>
          <w:tcPr>
            <w:tcW w:w="994" w:type="dxa"/>
            <w:tcBorders>
              <w:top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cs="Times New Roman"/>
              </w:rPr>
            </w:pPr>
            <w:r>
              <w:rPr>
                <w:rFonts w:hint="eastAsia" w:ascii="仿宋" w:hAnsi="仿宋" w:eastAsia="仿宋" w:cs="Times New Roman"/>
              </w:rPr>
              <w:t>尚文娟</w:t>
            </w: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cs="Times New Roman"/>
              </w:rPr>
            </w:pPr>
            <w:r>
              <w:rPr>
                <w:rFonts w:hint="eastAsia" w:ascii="仿宋" w:hAnsi="仿宋" w:eastAsia="仿宋" w:cs="Times New Roman"/>
              </w:rPr>
              <w:t>女</w:t>
            </w:r>
          </w:p>
        </w:tc>
        <w:tc>
          <w:tcPr>
            <w:tcW w:w="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rPr>
              <w:t>本科</w:t>
            </w:r>
          </w:p>
        </w:tc>
        <w:tc>
          <w:tcPr>
            <w:tcW w:w="36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临猗新田村镇银行监事长</w:t>
            </w:r>
          </w:p>
        </w:tc>
        <w:tc>
          <w:tcPr>
            <w:tcW w:w="1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rPr>
              <w:t>监事长（</w:t>
            </w:r>
            <w:r>
              <w:rPr>
                <w:rFonts w:hint="eastAsia" w:ascii="仿宋" w:hAnsi="仿宋" w:eastAsia="仿宋" w:cs="Times New Roman"/>
              </w:rPr>
              <w:t>2025年5月前</w:t>
            </w:r>
            <w:r>
              <w:rPr>
                <w:rFonts w:hint="eastAsia" w:ascii="仿宋" w:hAnsi="仿宋" w:eastAsia="仿宋"/>
              </w:rPr>
              <w:t>）</w:t>
            </w:r>
          </w:p>
        </w:tc>
        <w:tc>
          <w:tcPr>
            <w:tcW w:w="1646" w:type="dxa"/>
            <w:tcBorders>
              <w:top w:val="single" w:color="auto" w:sz="4" w:space="0"/>
              <w:left w:val="single" w:color="auto" w:sz="4" w:space="0"/>
              <w:bottom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rPr>
              <w:t>本行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583" w:hRule="atLeast"/>
          <w:jc w:val="center"/>
        </w:trPr>
        <w:tc>
          <w:tcPr>
            <w:tcW w:w="994" w:type="dxa"/>
            <w:tcBorders>
              <w:top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王稠虎</w:t>
            </w:r>
          </w:p>
        </w:tc>
        <w:tc>
          <w:tcPr>
            <w:tcW w:w="76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男</w:t>
            </w:r>
          </w:p>
        </w:tc>
        <w:tc>
          <w:tcPr>
            <w:tcW w:w="70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rPr>
              <w:t>专科</w:t>
            </w:r>
          </w:p>
        </w:tc>
        <w:tc>
          <w:tcPr>
            <w:tcW w:w="36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ascii="仿宋" w:hAnsi="仿宋" w:eastAsia="仿宋"/>
              </w:rPr>
              <w:t>临猗县凯睿塑业有限公司总经理</w:t>
            </w:r>
          </w:p>
        </w:tc>
        <w:tc>
          <w:tcPr>
            <w:tcW w:w="170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rPr>
              <w:t>监事</w:t>
            </w:r>
          </w:p>
        </w:tc>
        <w:tc>
          <w:tcPr>
            <w:tcW w:w="1646" w:type="dxa"/>
            <w:tcBorders>
              <w:top w:val="single" w:color="auto" w:sz="4" w:space="0"/>
              <w:left w:val="single" w:color="auto" w:sz="4" w:space="0"/>
              <w:bottom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rPr>
              <w:t>自然人股东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Ex>
        <w:trPr>
          <w:trHeight w:val="593" w:hRule="atLeast"/>
          <w:jc w:val="center"/>
        </w:trPr>
        <w:tc>
          <w:tcPr>
            <w:tcW w:w="994" w:type="dxa"/>
            <w:tcBorders>
              <w:top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段丽萍</w:t>
            </w:r>
          </w:p>
        </w:tc>
        <w:tc>
          <w:tcPr>
            <w:tcW w:w="767"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女</w:t>
            </w:r>
          </w:p>
        </w:tc>
        <w:tc>
          <w:tcPr>
            <w:tcW w:w="700"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ascii="仿宋" w:hAnsi="仿宋" w:eastAsia="仿宋"/>
              </w:rPr>
              <w:t>专科</w:t>
            </w:r>
          </w:p>
        </w:tc>
        <w:tc>
          <w:tcPr>
            <w:tcW w:w="3632"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ascii="仿宋" w:hAnsi="仿宋" w:eastAsia="仿宋"/>
              </w:rPr>
              <w:t>飞达鑫房地产开发公司</w:t>
            </w:r>
            <w:r>
              <w:rPr>
                <w:rFonts w:hint="eastAsia" w:ascii="仿宋" w:hAnsi="仿宋" w:eastAsia="仿宋"/>
              </w:rPr>
              <w:t>董事</w:t>
            </w:r>
          </w:p>
        </w:tc>
        <w:tc>
          <w:tcPr>
            <w:tcW w:w="1708" w:type="dxa"/>
            <w:tcBorders>
              <w:top w:val="single" w:color="auto" w:sz="4" w:space="0"/>
              <w:left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rPr>
              <w:t>监事</w:t>
            </w:r>
          </w:p>
        </w:tc>
        <w:tc>
          <w:tcPr>
            <w:tcW w:w="1646" w:type="dxa"/>
            <w:tcBorders>
              <w:top w:val="single" w:color="auto" w:sz="4" w:space="0"/>
              <w:lef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rPr>
              <w:t>自然人股东</w:t>
            </w:r>
          </w:p>
        </w:tc>
      </w:tr>
    </w:tbl>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sz w:val="30"/>
          <w:szCs w:val="30"/>
        </w:rPr>
        <w:t> </w:t>
      </w:r>
      <w:r>
        <w:rPr>
          <w:rFonts w:hint="eastAsia" w:ascii="仿宋" w:hAnsi="仿宋" w:eastAsia="仿宋" w:cs="Times New Roman"/>
          <w:sz w:val="30"/>
          <w:szCs w:val="30"/>
        </w:rPr>
        <w:t>（二）监事会工作情况</w:t>
      </w:r>
    </w:p>
    <w:p>
      <w:pPr>
        <w:pStyle w:val="10"/>
        <w:spacing w:before="0" w:beforeAutospacing="0" w:after="0" w:afterAutospacing="0" w:line="6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 xml:space="preserve">报告期内，本行共召开了3次监事会会议，会议程序符合监管要求和《章程》的有关规定。 </w:t>
      </w:r>
    </w:p>
    <w:p>
      <w:pPr>
        <w:pStyle w:val="10"/>
        <w:spacing w:before="0" w:beforeAutospacing="0" w:after="0" w:afterAutospacing="0" w:line="600" w:lineRule="exact"/>
        <w:ind w:firstLine="600" w:firstLineChars="200"/>
        <w:jc w:val="both"/>
        <w:rPr>
          <w:rFonts w:ascii="仿宋" w:hAnsi="仿宋" w:eastAsia="仿宋" w:cs="Times New Roman"/>
          <w:sz w:val="30"/>
          <w:szCs w:val="30"/>
        </w:rPr>
      </w:pPr>
      <w:r>
        <w:rPr>
          <w:rFonts w:hint="eastAsia" w:ascii="仿宋" w:hAnsi="仿宋" w:eastAsia="仿宋" w:cs="Times New Roman"/>
          <w:sz w:val="30"/>
          <w:szCs w:val="30"/>
        </w:rPr>
        <w:t>一级法人体制下召开的监事会：</w:t>
      </w:r>
    </w:p>
    <w:tbl>
      <w:tblPr>
        <w:tblStyle w:val="11"/>
        <w:tblW w:w="10165" w:type="dxa"/>
        <w:jc w:val="center"/>
        <w:tblInd w:w="0"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15" w:type="dxa"/>
          <w:bottom w:w="15" w:type="dxa"/>
          <w:right w:w="15" w:type="dxa"/>
        </w:tblCellMar>
      </w:tblPr>
      <w:tblGrid>
        <w:gridCol w:w="1356"/>
        <w:gridCol w:w="1134"/>
        <w:gridCol w:w="7675"/>
      </w:tblGrid>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15" w:type="dxa"/>
            <w:bottom w:w="15" w:type="dxa"/>
            <w:right w:w="15" w:type="dxa"/>
          </w:tblCellMar>
        </w:tblPrEx>
        <w:trPr>
          <w:jc w:val="center"/>
        </w:trPr>
        <w:tc>
          <w:tcPr>
            <w:tcW w:w="1356"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rPr>
            </w:pPr>
            <w:r>
              <w:rPr>
                <w:rStyle w:val="14"/>
                <w:rFonts w:hint="eastAsia" w:ascii="仿宋" w:hAnsi="仿宋" w:eastAsia="仿宋" w:cs="Times New Roman"/>
              </w:rPr>
              <w:t>会议名称</w:t>
            </w:r>
          </w:p>
        </w:tc>
        <w:tc>
          <w:tcPr>
            <w:tcW w:w="1134" w:type="dxa"/>
            <w:tcBorders>
              <w:top w:val="single" w:color="000000" w:sz="8" w:space="0"/>
              <w:left w:val="single" w:color="auto" w:sz="8" w:space="0"/>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line="600" w:lineRule="exact"/>
              <w:jc w:val="both"/>
              <w:rPr>
                <w:rFonts w:ascii="仿宋" w:hAnsi="仿宋" w:eastAsia="仿宋"/>
              </w:rPr>
            </w:pPr>
            <w:r>
              <w:rPr>
                <w:rStyle w:val="14"/>
                <w:rFonts w:hint="eastAsia" w:ascii="仿宋" w:hAnsi="仿宋" w:eastAsia="仿宋" w:cs="Times New Roman"/>
              </w:rPr>
              <w:t>时间</w:t>
            </w:r>
          </w:p>
        </w:tc>
        <w:tc>
          <w:tcPr>
            <w:tcW w:w="7675" w:type="dxa"/>
            <w:tcBorders>
              <w:top w:val="single" w:color="000000" w:sz="8" w:space="0"/>
              <w:left w:val="single" w:color="auto" w:sz="8" w:space="0"/>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line="600" w:lineRule="exact"/>
              <w:ind w:firstLine="482" w:firstLineChars="200"/>
              <w:jc w:val="center"/>
              <w:rPr>
                <w:rFonts w:ascii="仿宋" w:hAnsi="仿宋" w:eastAsia="仿宋"/>
              </w:rPr>
            </w:pPr>
            <w:r>
              <w:rPr>
                <w:rStyle w:val="14"/>
                <w:rFonts w:hint="eastAsia" w:ascii="仿宋" w:hAnsi="仿宋" w:eastAsia="仿宋" w:cs="Times New Roman"/>
              </w:rPr>
              <w:t>工作情况</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15" w:type="dxa"/>
            <w:bottom w:w="15" w:type="dxa"/>
            <w:right w:w="15" w:type="dxa"/>
          </w:tblCellMar>
        </w:tblPrEx>
        <w:trPr>
          <w:trHeight w:val="801" w:hRule="atLeast"/>
          <w:jc w:val="center"/>
        </w:trPr>
        <w:tc>
          <w:tcPr>
            <w:tcW w:w="1356"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cs="Times New Roman"/>
              </w:rPr>
              <w:t>第四届第四次监事会</w:t>
            </w:r>
          </w:p>
        </w:tc>
        <w:tc>
          <w:tcPr>
            <w:tcW w:w="1134" w:type="dxa"/>
            <w:tcBorders>
              <w:top w:val="nil"/>
              <w:left w:val="nil"/>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rPr>
            </w:pPr>
            <w:r>
              <w:rPr>
                <w:rFonts w:hint="eastAsia" w:ascii="仿宋" w:hAnsi="仿宋" w:eastAsia="仿宋" w:cs="Times New Roman"/>
              </w:rPr>
              <w:t>2025.6.3</w:t>
            </w:r>
          </w:p>
        </w:tc>
        <w:tc>
          <w:tcPr>
            <w:tcW w:w="7675" w:type="dxa"/>
            <w:tcBorders>
              <w:top w:val="nil"/>
              <w:left w:val="nil"/>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rPr>
                <w:rFonts w:ascii="仿宋" w:hAnsi="仿宋" w:eastAsia="仿宋"/>
              </w:rPr>
            </w:pPr>
            <w:r>
              <w:rPr>
                <w:rFonts w:hint="eastAsia" w:ascii="仿宋" w:hAnsi="仿宋" w:eastAsia="仿宋" w:cs="Times New Roman"/>
              </w:rPr>
              <w:t>审议通过了《关于临猗新田村镇银行2024年度财务审计报告的议案》；《关于临猗新田村镇银行2024年度信息披露报告的议案》；《关于临猗新田村镇银行2024年度关联交易专项审计情况报告的议案》；《关于临猗新田村镇银行2024年度财务决算报告及2025年度财务预算方案（草案）的议案》；《关于临猗新田村镇银行股东程占平股权转让的议案》；《关于临猗新田村镇银行股东王勤生股权转让的议案》；《关于临猗新田村镇银行2024年度内部控制评价报告的议案》；《关于临猗新田村镇银行2024年度全面风险管理评估报告的议案》。</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1356" w:type="dxa"/>
            <w:tcBorders>
              <w:top w:val="single" w:color="auto" w:sz="4"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cs="Times New Roman"/>
              </w:rPr>
            </w:pPr>
            <w:r>
              <w:rPr>
                <w:rFonts w:hint="eastAsia" w:ascii="仿宋" w:hAnsi="仿宋" w:eastAsia="仿宋" w:cs="Times New Roman"/>
              </w:rPr>
              <w:t>第四届第五次监事会</w:t>
            </w:r>
          </w:p>
        </w:tc>
        <w:tc>
          <w:tcPr>
            <w:tcW w:w="1134" w:type="dxa"/>
            <w:tcBorders>
              <w:top w:val="single" w:color="auto" w:sz="4" w:space="0"/>
              <w:left w:val="nil"/>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cs="Times New Roman"/>
              </w:rPr>
            </w:pPr>
            <w:r>
              <w:rPr>
                <w:rFonts w:hint="eastAsia" w:ascii="仿宋" w:hAnsi="仿宋" w:eastAsia="仿宋" w:cs="Times New Roman"/>
              </w:rPr>
              <w:t>2025.6.26</w:t>
            </w:r>
          </w:p>
        </w:tc>
        <w:tc>
          <w:tcPr>
            <w:tcW w:w="7675" w:type="dxa"/>
            <w:tcBorders>
              <w:top w:val="single" w:color="auto" w:sz="4" w:space="0"/>
              <w:left w:val="nil"/>
              <w:bottom w:val="single" w:color="000000" w:sz="8" w:space="0"/>
              <w:right w:val="single" w:color="000000" w:sz="8" w:space="0"/>
            </w:tcBorders>
            <w:tcMar>
              <w:top w:w="0" w:type="dxa"/>
              <w:left w:w="108" w:type="dxa"/>
              <w:bottom w:w="0" w:type="dxa"/>
              <w:right w:w="108" w:type="dxa"/>
            </w:tcMar>
            <w:vAlign w:val="center"/>
          </w:tcPr>
          <w:p>
            <w:pPr>
              <w:pStyle w:val="10"/>
              <w:spacing w:before="0" w:beforeAutospacing="0" w:after="0" w:afterAutospacing="0"/>
              <w:rPr>
                <w:rFonts w:ascii="仿宋" w:hAnsi="仿宋" w:eastAsia="仿宋" w:cs="Times New Roman"/>
              </w:rPr>
            </w:pPr>
            <w:r>
              <w:rPr>
                <w:rFonts w:hint="eastAsia" w:ascii="仿宋" w:hAnsi="仿宋" w:eastAsia="仿宋" w:cs="Times New Roman"/>
              </w:rPr>
              <w:t>审议通过了《关于临猗新田村镇银行高管职责分工的议案》；《关于临猗新田村镇银行发展战略规划委员会成员变更的议案》；《关于临猗新田村镇银行关联交易控制委员会成员变更的议案》；《关于临猗新田村镇银行消费者权益保护委员会成员变更的议案》；《关于临猗新田村镇银行提名委员会成员变更的议案》；《关于临猗新田村镇银行审计委员会成员变更的议案》；《关于临猗新田村镇银行2024年金融消费者权益保护工作审计报告的议案》；《关于临猗新田村银行2024年反洗钱和反恐怖融资年度报告的议案》；《关于临猗新田村镇银行网络防火墙、入侵防御设备续保的议案》；《关于临猗新田村镇银行总行房租费用的议案》；《关于临猗新田村银行安全保卫管理基本制度的议案》；《关于临猗新田村银行信贷管理基本制度的议案》；《关于临猗新田村银行财务管理基本制度的议案》。</w:t>
            </w:r>
          </w:p>
        </w:tc>
      </w:tr>
      <w:tr>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Layout w:type="fixed"/>
          <w:tblCellMar>
            <w:top w:w="15" w:type="dxa"/>
            <w:left w:w="15" w:type="dxa"/>
            <w:bottom w:w="15" w:type="dxa"/>
            <w:right w:w="15" w:type="dxa"/>
          </w:tblCellMar>
        </w:tblPrEx>
        <w:trPr>
          <w:trHeight w:val="834" w:hRule="atLeast"/>
          <w:jc w:val="center"/>
        </w:trPr>
        <w:tc>
          <w:tcPr>
            <w:tcW w:w="1356" w:type="dxa"/>
            <w:tcBorders>
              <w:top w:val="single" w:color="auto" w:sz="4" w:space="0"/>
              <w:left w:val="single" w:color="000000" w:sz="8" w:space="0"/>
              <w:bottom w:val="single" w:color="auto" w:sz="4" w:space="0"/>
              <w:right w:val="single" w:color="000000" w:sz="8"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cs="Times New Roman"/>
              </w:rPr>
            </w:pPr>
            <w:r>
              <w:rPr>
                <w:rFonts w:hint="eastAsia" w:ascii="仿宋" w:hAnsi="仿宋" w:eastAsia="仿宋" w:cs="Times New Roman"/>
              </w:rPr>
              <w:t>第四届第六次监事会</w:t>
            </w:r>
          </w:p>
        </w:tc>
        <w:tc>
          <w:tcPr>
            <w:tcW w:w="1134" w:type="dxa"/>
            <w:tcBorders>
              <w:top w:val="single" w:color="auto" w:sz="4" w:space="0"/>
              <w:left w:val="nil"/>
              <w:bottom w:val="single" w:color="auto" w:sz="4" w:space="0"/>
              <w:right w:val="single" w:color="000000" w:sz="8" w:space="0"/>
            </w:tcBorders>
            <w:tcMar>
              <w:top w:w="0" w:type="dxa"/>
              <w:left w:w="108" w:type="dxa"/>
              <w:bottom w:w="0" w:type="dxa"/>
              <w:right w:w="108" w:type="dxa"/>
            </w:tcMar>
            <w:vAlign w:val="center"/>
          </w:tcPr>
          <w:p>
            <w:pPr>
              <w:pStyle w:val="10"/>
              <w:spacing w:before="0" w:beforeAutospacing="0" w:after="0" w:afterAutospacing="0"/>
              <w:jc w:val="center"/>
              <w:rPr>
                <w:rFonts w:ascii="仿宋" w:hAnsi="仿宋" w:eastAsia="仿宋" w:cs="Times New Roman"/>
              </w:rPr>
            </w:pPr>
            <w:r>
              <w:rPr>
                <w:rFonts w:hint="eastAsia" w:ascii="仿宋" w:hAnsi="仿宋" w:eastAsia="仿宋" w:cs="Times New Roman"/>
              </w:rPr>
              <w:t>2025.9.9</w:t>
            </w:r>
          </w:p>
        </w:tc>
        <w:tc>
          <w:tcPr>
            <w:tcW w:w="7675" w:type="dxa"/>
            <w:tcBorders>
              <w:top w:val="single" w:color="auto" w:sz="4" w:space="0"/>
              <w:left w:val="nil"/>
              <w:bottom w:val="single" w:color="auto" w:sz="4" w:space="0"/>
              <w:right w:val="single" w:color="000000" w:sz="8" w:space="0"/>
            </w:tcBorders>
            <w:tcMar>
              <w:top w:w="0" w:type="dxa"/>
              <w:left w:w="108" w:type="dxa"/>
              <w:bottom w:w="0" w:type="dxa"/>
              <w:right w:w="108" w:type="dxa"/>
            </w:tcMar>
            <w:vAlign w:val="center"/>
          </w:tcPr>
          <w:p>
            <w:pPr>
              <w:pStyle w:val="10"/>
              <w:spacing w:before="0" w:beforeAutospacing="0" w:after="0" w:afterAutospacing="0"/>
              <w:rPr>
                <w:rFonts w:ascii="仿宋" w:hAnsi="仿宋" w:eastAsia="仿宋" w:cs="Times New Roman"/>
              </w:rPr>
            </w:pPr>
            <w:r>
              <w:rPr>
                <w:rFonts w:hint="eastAsia" w:ascii="仿宋" w:hAnsi="仿宋" w:eastAsia="仿宋" w:cs="Times New Roman"/>
              </w:rPr>
              <w:t>审议通过了《关于贾孟辉同志辞去临猗新田村镇银行行长职务的议案》；《关于尚文娟同志辞去临猗新田村镇银行监事长职务的议案》；《关于巨乐乐同志辞去临猗新田村镇银行副行长职务的议案》；《关于提名乔舒梦同志拟担任临猗新田村镇银行行长的议案》 ；《关于提名石书伟同志拟担任临猗新田村镇银行副行长的议案》 ；《关于提名陈晨同志拟担任临猗新田村镇银行副行长的议案》；《关于临猗新田村镇银行拟任副行长陈晨同志财务审批权限的议案》；《关于成立临猗新田村镇银行固定资产购建与处置管理委员会的议案》；《关于成立临猗新田村镇银行集中采购管理委员会的议案》；《关于临猗新田村镇银行固定资产处置（公车）的议案》 ；《关于临猗新田村镇银行2025年上半年全面风险管理评估报告的议案》。</w:t>
            </w:r>
          </w:p>
        </w:tc>
      </w:tr>
    </w:tbl>
    <w:p>
      <w:pPr>
        <w:pStyle w:val="3"/>
        <w:spacing w:line="400" w:lineRule="exact"/>
        <w:ind w:firstLine="602" w:firstLineChars="200"/>
        <w:jc w:val="both"/>
        <w:rPr>
          <w:rFonts w:ascii="仿宋" w:hAnsi="仿宋" w:eastAsia="仿宋"/>
          <w:sz w:val="30"/>
          <w:szCs w:val="30"/>
        </w:rPr>
      </w:pPr>
      <w:bookmarkStart w:id="62" w:name="_Toc481080014"/>
      <w:r>
        <w:rPr>
          <w:rStyle w:val="14"/>
          <w:rFonts w:hint="eastAsia" w:ascii="仿宋" w:hAnsi="仿宋" w:eastAsia="仿宋" w:cs="Arial"/>
          <w:b/>
          <w:bCs/>
          <w:sz w:val="30"/>
          <w:szCs w:val="30"/>
        </w:rPr>
        <w:t>五、</w:t>
      </w:r>
      <w:bookmarkEnd w:id="62"/>
      <w:r>
        <w:rPr>
          <w:rStyle w:val="14"/>
          <w:rFonts w:hint="eastAsia" w:ascii="仿宋" w:hAnsi="仿宋" w:eastAsia="仿宋" w:cs="Arial"/>
          <w:b/>
          <w:bCs/>
          <w:sz w:val="30"/>
          <w:szCs w:val="30"/>
        </w:rPr>
        <w:t>经营管理层成员及其基本情况</w:t>
      </w:r>
    </w:p>
    <w:p>
      <w:pPr>
        <w:pStyle w:val="10"/>
        <w:spacing w:before="0" w:beforeAutospacing="0" w:after="0" w:afterAutospacing="0" w:line="400" w:lineRule="exact"/>
        <w:ind w:firstLine="600" w:firstLineChars="200"/>
        <w:jc w:val="both"/>
        <w:rPr>
          <w:rFonts w:ascii="仿宋" w:hAnsi="仿宋" w:eastAsia="仿宋"/>
          <w:sz w:val="30"/>
          <w:szCs w:val="30"/>
        </w:rPr>
      </w:pPr>
      <w:r>
        <w:rPr>
          <w:rFonts w:hint="eastAsia" w:ascii="仿宋" w:hAnsi="仿宋" w:eastAsia="仿宋" w:cs="Times New Roman"/>
          <w:sz w:val="30"/>
          <w:szCs w:val="30"/>
        </w:rPr>
        <w:t>本行经营管理层的任职资格和选聘程序、经营管理层的人数和人员构成符合《章程》的规定要求。本行经营管理层由1名行长主持经营班子工作，2名副行长、1名董事会秘书及 1名行长助理协助行长工作。</w:t>
      </w:r>
    </w:p>
    <w:tbl>
      <w:tblPr>
        <w:tblStyle w:val="11"/>
        <w:tblW w:w="8468" w:type="dxa"/>
        <w:jc w:val="center"/>
        <w:tblInd w:w="-2069"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
      <w:tblGrid>
        <w:gridCol w:w="1641"/>
        <w:gridCol w:w="1417"/>
        <w:gridCol w:w="1559"/>
        <w:gridCol w:w="3851"/>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576" w:hRule="atLeast"/>
          <w:jc w:val="center"/>
        </w:trPr>
        <w:tc>
          <w:tcPr>
            <w:tcW w:w="16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Style w:val="14"/>
                <w:rFonts w:hint="eastAsia" w:ascii="仿宋" w:hAnsi="仿宋" w:eastAsia="仿宋" w:cs="Times New Roman"/>
              </w:rPr>
              <w:t>姓名</w:t>
            </w: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Style w:val="14"/>
                <w:rFonts w:hint="eastAsia" w:ascii="仿宋" w:hAnsi="仿宋" w:eastAsia="仿宋" w:cs="Times New Roman"/>
              </w:rPr>
              <w:t>性别</w:t>
            </w:r>
          </w:p>
        </w:tc>
        <w:tc>
          <w:tcPr>
            <w:tcW w:w="1559" w:type="dxa"/>
            <w:tcBorders>
              <w:top w:val="single" w:color="auto" w:sz="4" w:space="0"/>
              <w:left w:val="single" w:color="auto" w:sz="4" w:space="0"/>
              <w:bottom w:val="single" w:color="auto" w:sz="4" w:space="0"/>
              <w:right w:val="single" w:color="DDDDDD" w:sz="8"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Style w:val="14"/>
                <w:rFonts w:hint="eastAsia" w:ascii="仿宋" w:hAnsi="仿宋" w:eastAsia="仿宋" w:cs="Times New Roman"/>
              </w:rPr>
              <w:t>学历</w:t>
            </w:r>
          </w:p>
        </w:tc>
        <w:tc>
          <w:tcPr>
            <w:tcW w:w="3851"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Style w:val="14"/>
                <w:rFonts w:hint="eastAsia" w:ascii="仿宋" w:hAnsi="仿宋" w:eastAsia="仿宋" w:cs="Times New Roman"/>
              </w:rPr>
              <w:t>职务</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576" w:hRule="atLeast"/>
          <w:jc w:val="center"/>
        </w:trPr>
        <w:tc>
          <w:tcPr>
            <w:tcW w:w="16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center"/>
              <w:rPr>
                <w:rFonts w:ascii="仿宋" w:hAnsi="仿宋" w:eastAsia="仿宋"/>
              </w:rPr>
            </w:pPr>
            <w:r>
              <w:rPr>
                <w:rFonts w:hint="eastAsia" w:ascii="仿宋" w:hAnsi="仿宋" w:eastAsia="仿宋" w:cs="Times New Roman"/>
              </w:rPr>
              <w:t>贾孟辉</w:t>
            </w: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center"/>
              <w:rPr>
                <w:rFonts w:ascii="仿宋" w:hAnsi="仿宋" w:eastAsia="仿宋"/>
              </w:rPr>
            </w:pPr>
            <w:r>
              <w:rPr>
                <w:rFonts w:hint="eastAsia" w:ascii="仿宋" w:hAnsi="仿宋" w:eastAsia="仿宋" w:cs="Times New Roman"/>
              </w:rPr>
              <w:t>男</w:t>
            </w:r>
          </w:p>
        </w:tc>
        <w:tc>
          <w:tcPr>
            <w:tcW w:w="155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本科</w:t>
            </w:r>
          </w:p>
        </w:tc>
        <w:tc>
          <w:tcPr>
            <w:tcW w:w="385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行长（2025年10月前）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jc w:val="center"/>
        </w:trPr>
        <w:tc>
          <w:tcPr>
            <w:tcW w:w="16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center"/>
              <w:rPr>
                <w:rFonts w:ascii="仿宋" w:hAnsi="仿宋" w:eastAsia="仿宋"/>
              </w:rPr>
            </w:pPr>
            <w:r>
              <w:rPr>
                <w:rFonts w:hint="eastAsia" w:ascii="仿宋" w:hAnsi="仿宋" w:eastAsia="仿宋" w:cs="Times New Roman"/>
              </w:rPr>
              <w:t>乔舒梦</w:t>
            </w: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center"/>
              <w:rPr>
                <w:rFonts w:ascii="仿宋" w:hAnsi="仿宋" w:eastAsia="仿宋"/>
              </w:rPr>
            </w:pPr>
            <w:r>
              <w:rPr>
                <w:rFonts w:hint="eastAsia" w:ascii="仿宋" w:hAnsi="仿宋" w:eastAsia="仿宋" w:cs="Times New Roman"/>
              </w:rPr>
              <w:t>女</w:t>
            </w:r>
          </w:p>
        </w:tc>
        <w:tc>
          <w:tcPr>
            <w:tcW w:w="155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本科</w:t>
            </w:r>
          </w:p>
        </w:tc>
        <w:tc>
          <w:tcPr>
            <w:tcW w:w="385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拟任行长</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576" w:hRule="atLeast"/>
          <w:jc w:val="center"/>
        </w:trPr>
        <w:tc>
          <w:tcPr>
            <w:tcW w:w="16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center"/>
              <w:rPr>
                <w:rFonts w:ascii="仿宋" w:hAnsi="仿宋" w:eastAsia="仿宋" w:cs="Times New Roman"/>
              </w:rPr>
            </w:pPr>
            <w:r>
              <w:rPr>
                <w:rFonts w:hint="eastAsia" w:ascii="仿宋" w:hAnsi="仿宋" w:eastAsia="仿宋" w:cs="Times New Roman"/>
              </w:rPr>
              <w:t>巨乐乐</w:t>
            </w: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center"/>
              <w:rPr>
                <w:rFonts w:ascii="仿宋" w:hAnsi="仿宋" w:eastAsia="仿宋" w:cs="Times New Roman"/>
              </w:rPr>
            </w:pPr>
            <w:r>
              <w:rPr>
                <w:rFonts w:hint="eastAsia" w:ascii="仿宋" w:hAnsi="仿宋" w:eastAsia="仿宋" w:cs="Times New Roman"/>
              </w:rPr>
              <w:t>男</w:t>
            </w:r>
          </w:p>
        </w:tc>
        <w:tc>
          <w:tcPr>
            <w:tcW w:w="155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本科</w:t>
            </w:r>
          </w:p>
        </w:tc>
        <w:tc>
          <w:tcPr>
            <w:tcW w:w="385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副行长（2025年8月前）</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576" w:hRule="atLeast"/>
          <w:jc w:val="center"/>
        </w:trPr>
        <w:tc>
          <w:tcPr>
            <w:tcW w:w="16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center"/>
              <w:rPr>
                <w:rFonts w:ascii="仿宋" w:hAnsi="仿宋" w:eastAsia="仿宋" w:cs="Times New Roman"/>
              </w:rPr>
            </w:pPr>
            <w:r>
              <w:rPr>
                <w:rFonts w:hint="eastAsia" w:ascii="仿宋" w:hAnsi="仿宋" w:eastAsia="仿宋" w:cs="Times New Roman"/>
              </w:rPr>
              <w:t>石书伟</w:t>
            </w: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center"/>
              <w:rPr>
                <w:rFonts w:ascii="仿宋" w:hAnsi="仿宋" w:eastAsia="仿宋" w:cs="Times New Roman"/>
              </w:rPr>
            </w:pPr>
            <w:r>
              <w:rPr>
                <w:rFonts w:hint="eastAsia" w:ascii="仿宋" w:hAnsi="仿宋" w:eastAsia="仿宋" w:cs="Times New Roman"/>
              </w:rPr>
              <w:t>男</w:t>
            </w:r>
          </w:p>
        </w:tc>
        <w:tc>
          <w:tcPr>
            <w:tcW w:w="155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本科</w:t>
            </w:r>
          </w:p>
        </w:tc>
        <w:tc>
          <w:tcPr>
            <w:tcW w:w="385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cs="Times New Roman"/>
              </w:rPr>
            </w:pPr>
            <w:r>
              <w:rPr>
                <w:rFonts w:hint="eastAsia" w:ascii="仿宋" w:hAnsi="仿宋" w:eastAsia="仿宋" w:cs="Times New Roman"/>
              </w:rPr>
              <w:t>副行长</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576" w:hRule="atLeast"/>
          <w:jc w:val="center"/>
        </w:trPr>
        <w:tc>
          <w:tcPr>
            <w:tcW w:w="16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center"/>
              <w:rPr>
                <w:rFonts w:ascii="仿宋" w:hAnsi="仿宋" w:eastAsia="仿宋" w:cs="Times New Roman"/>
              </w:rPr>
            </w:pPr>
            <w:r>
              <w:rPr>
                <w:rFonts w:hint="eastAsia" w:ascii="仿宋" w:hAnsi="仿宋" w:eastAsia="仿宋" w:cs="Times New Roman"/>
              </w:rPr>
              <w:t>陈晨</w:t>
            </w: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center"/>
              <w:rPr>
                <w:rFonts w:ascii="仿宋" w:hAnsi="仿宋" w:eastAsia="仿宋" w:cs="Times New Roman"/>
              </w:rPr>
            </w:pPr>
            <w:r>
              <w:rPr>
                <w:rFonts w:hint="eastAsia" w:ascii="仿宋" w:hAnsi="仿宋" w:eastAsia="仿宋" w:cs="Times New Roman"/>
              </w:rPr>
              <w:t>女</w:t>
            </w:r>
          </w:p>
        </w:tc>
        <w:tc>
          <w:tcPr>
            <w:tcW w:w="155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本科</w:t>
            </w:r>
          </w:p>
        </w:tc>
        <w:tc>
          <w:tcPr>
            <w:tcW w:w="385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cs="Times New Roman"/>
              </w:rPr>
            </w:pPr>
            <w:r>
              <w:rPr>
                <w:rFonts w:hint="eastAsia" w:ascii="仿宋" w:hAnsi="仿宋" w:eastAsia="仿宋" w:cs="Times New Roman"/>
              </w:rPr>
              <w:t>副行长</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576" w:hRule="atLeast"/>
          <w:jc w:val="center"/>
        </w:trPr>
        <w:tc>
          <w:tcPr>
            <w:tcW w:w="16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center"/>
              <w:rPr>
                <w:rFonts w:ascii="仿宋" w:hAnsi="仿宋" w:eastAsia="仿宋" w:cs="Times New Roman"/>
              </w:rPr>
            </w:pPr>
            <w:r>
              <w:rPr>
                <w:rFonts w:hint="eastAsia" w:ascii="仿宋" w:hAnsi="仿宋" w:eastAsia="仿宋" w:cs="Times New Roman"/>
              </w:rPr>
              <w:t>李少杰</w:t>
            </w: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center"/>
              <w:rPr>
                <w:rFonts w:ascii="仿宋" w:hAnsi="仿宋" w:eastAsia="仿宋" w:cs="Times New Roman"/>
              </w:rPr>
            </w:pPr>
            <w:r>
              <w:rPr>
                <w:rFonts w:hint="eastAsia" w:ascii="仿宋" w:hAnsi="仿宋" w:eastAsia="仿宋" w:cs="Times New Roman"/>
              </w:rPr>
              <w:t>男</w:t>
            </w:r>
          </w:p>
        </w:tc>
        <w:tc>
          <w:tcPr>
            <w:tcW w:w="155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本科</w:t>
            </w:r>
          </w:p>
        </w:tc>
        <w:tc>
          <w:tcPr>
            <w:tcW w:w="385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center"/>
              <w:rPr>
                <w:rFonts w:ascii="仿宋" w:hAnsi="仿宋" w:eastAsia="仿宋" w:cs="Times New Roman"/>
              </w:rPr>
            </w:pPr>
            <w:r>
              <w:rPr>
                <w:rFonts w:hint="eastAsia" w:ascii="仿宋" w:hAnsi="仿宋" w:eastAsia="仿宋" w:cs="Times New Roman"/>
              </w:rPr>
              <w:t>董事会秘书</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585" w:hRule="atLeast"/>
          <w:jc w:val="center"/>
        </w:trPr>
        <w:tc>
          <w:tcPr>
            <w:tcW w:w="164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center"/>
              <w:rPr>
                <w:rFonts w:ascii="仿宋" w:hAnsi="仿宋" w:eastAsia="仿宋"/>
              </w:rPr>
            </w:pPr>
            <w:bookmarkStart w:id="63" w:name="_Toc227401551"/>
            <w:bookmarkEnd w:id="63"/>
            <w:bookmarkStart w:id="64" w:name="_Toc481080015"/>
            <w:r>
              <w:rPr>
                <w:rFonts w:hint="eastAsia" w:ascii="仿宋" w:hAnsi="仿宋" w:eastAsia="仿宋" w:cs="Times New Roman"/>
              </w:rPr>
              <w:t>乔舒梦</w:t>
            </w:r>
          </w:p>
        </w:tc>
        <w:tc>
          <w:tcPr>
            <w:tcW w:w="141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ind w:firstLine="240" w:firstLineChars="100"/>
              <w:jc w:val="center"/>
              <w:rPr>
                <w:rFonts w:ascii="仿宋" w:hAnsi="仿宋" w:eastAsia="仿宋"/>
              </w:rPr>
            </w:pPr>
            <w:r>
              <w:rPr>
                <w:rFonts w:hint="eastAsia" w:ascii="仿宋" w:hAnsi="仿宋" w:eastAsia="仿宋" w:cs="Times New Roman"/>
              </w:rPr>
              <w:t>女</w:t>
            </w:r>
          </w:p>
        </w:tc>
        <w:tc>
          <w:tcPr>
            <w:tcW w:w="1559"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本科</w:t>
            </w:r>
          </w:p>
        </w:tc>
        <w:tc>
          <w:tcPr>
            <w:tcW w:w="3851" w:type="dxa"/>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行长助理（2025年8月前）</w:t>
            </w:r>
          </w:p>
        </w:tc>
      </w:tr>
    </w:tbl>
    <w:p>
      <w:pPr>
        <w:pStyle w:val="3"/>
        <w:spacing w:line="560" w:lineRule="exact"/>
        <w:ind w:firstLine="602" w:firstLineChars="200"/>
        <w:jc w:val="both"/>
        <w:rPr>
          <w:rFonts w:ascii="仿宋" w:hAnsi="仿宋" w:eastAsia="仿宋"/>
          <w:sz w:val="30"/>
          <w:szCs w:val="30"/>
        </w:rPr>
      </w:pPr>
      <w:r>
        <w:rPr>
          <w:rStyle w:val="14"/>
          <w:rFonts w:hint="eastAsia" w:ascii="仿宋" w:hAnsi="仿宋" w:eastAsia="仿宋" w:cs="Arial"/>
          <w:b/>
          <w:bCs/>
          <w:sz w:val="30"/>
          <w:szCs w:val="30"/>
        </w:rPr>
        <w:t>六、</w:t>
      </w:r>
      <w:bookmarkEnd w:id="64"/>
      <w:r>
        <w:rPr>
          <w:rStyle w:val="14"/>
          <w:rFonts w:hint="eastAsia" w:ascii="仿宋" w:hAnsi="仿宋" w:eastAsia="仿宋" w:cs="Arial"/>
          <w:b/>
          <w:bCs/>
          <w:sz w:val="30"/>
          <w:szCs w:val="30"/>
        </w:rPr>
        <w:t>职能部门与分支机构设置情况</w:t>
      </w:r>
    </w:p>
    <w:p>
      <w:pPr>
        <w:pStyle w:val="10"/>
        <w:spacing w:before="0" w:beforeAutospacing="0" w:after="0" w:afterAutospacing="0" w:line="560" w:lineRule="exact"/>
        <w:ind w:firstLine="600" w:firstLineChars="200"/>
        <w:jc w:val="both"/>
        <w:rPr>
          <w:rFonts w:ascii="仿宋" w:hAnsi="仿宋" w:eastAsia="仿宋" w:cs="Times New Roman"/>
          <w:sz w:val="30"/>
          <w:szCs w:val="30"/>
        </w:rPr>
      </w:pPr>
      <w:bookmarkStart w:id="65" w:name="_（一）职能部门设置情况"/>
      <w:bookmarkEnd w:id="65"/>
      <w:r>
        <w:rPr>
          <w:rFonts w:hint="eastAsia" w:ascii="仿宋" w:hAnsi="仿宋" w:eastAsia="仿宋" w:cs="Times New Roman"/>
          <w:sz w:val="30"/>
          <w:szCs w:val="30"/>
        </w:rPr>
        <w:t>本行机构设置遵循“简洁、高效”原则，本行下设综合办公室、信贷管理部、计划财务部、风险合规部、科技部、运维部6个职能部门和营业部、庙上支行、临晋支行、耽子支行、孙吉支行、角杯支行、北辛支行。</w:t>
      </w:r>
    </w:p>
    <w:p>
      <w:pPr>
        <w:pStyle w:val="10"/>
        <w:spacing w:before="0" w:beforeAutospacing="0" w:after="0" w:afterAutospacing="0" w:line="560" w:lineRule="exact"/>
        <w:ind w:firstLine="600" w:firstLineChars="200"/>
        <w:jc w:val="both"/>
        <w:rPr>
          <w:rFonts w:ascii="仿宋" w:hAnsi="仿宋" w:eastAsia="仿宋" w:cs="Times New Roman"/>
          <w:sz w:val="30"/>
          <w:szCs w:val="30"/>
        </w:rPr>
      </w:pPr>
      <w:bookmarkStart w:id="66" w:name="_Toc193883081"/>
      <w:r>
        <w:rPr>
          <w:rFonts w:hint="eastAsia" w:ascii="仿宋" w:hAnsi="仿宋" w:eastAsia="仿宋" w:cs="Times New Roman"/>
          <w:sz w:val="30"/>
          <w:szCs w:val="30"/>
        </w:rPr>
        <w:t>本行在岗正式员工117人，其中3名具有硕士研究生学历，39名具有大专学历，75名具有本科学历，员工平均年龄31岁。</w:t>
      </w:r>
      <w:bookmarkEnd w:id="66"/>
    </w:p>
    <w:p>
      <w:pPr>
        <w:pStyle w:val="2"/>
        <w:spacing w:before="0" w:beforeAutospacing="0" w:after="0" w:afterAutospacing="0" w:line="560" w:lineRule="exact"/>
        <w:jc w:val="center"/>
        <w:rPr>
          <w:rFonts w:ascii="仿宋" w:hAnsi="仿宋" w:eastAsia="仿宋"/>
          <w:sz w:val="30"/>
          <w:szCs w:val="30"/>
        </w:rPr>
      </w:pPr>
      <w:bookmarkStart w:id="67" w:name="_Toc481080016"/>
      <w:r>
        <w:rPr>
          <w:rStyle w:val="14"/>
          <w:rFonts w:hint="eastAsia" w:ascii="仿宋" w:hAnsi="仿宋" w:eastAsia="仿宋"/>
          <w:b/>
          <w:bCs/>
          <w:sz w:val="30"/>
          <w:szCs w:val="30"/>
        </w:rPr>
        <w:t>第六章　年度重大事项</w:t>
      </w:r>
      <w:bookmarkEnd w:id="67"/>
    </w:p>
    <w:p>
      <w:pPr>
        <w:pStyle w:val="3"/>
        <w:spacing w:line="560" w:lineRule="exact"/>
        <w:ind w:firstLine="602" w:firstLineChars="200"/>
        <w:jc w:val="both"/>
        <w:rPr>
          <w:rFonts w:ascii="仿宋" w:hAnsi="仿宋" w:eastAsia="仿宋"/>
          <w:sz w:val="30"/>
          <w:szCs w:val="30"/>
        </w:rPr>
      </w:pPr>
      <w:bookmarkStart w:id="68" w:name="_Toc481080017"/>
      <w:r>
        <w:rPr>
          <w:rStyle w:val="14"/>
          <w:rFonts w:hint="eastAsia" w:ascii="仿宋" w:hAnsi="仿宋" w:eastAsia="仿宋" w:cs="Arial"/>
          <w:b/>
          <w:bCs/>
          <w:sz w:val="30"/>
          <w:szCs w:val="30"/>
        </w:rPr>
        <w:t>一、</w:t>
      </w:r>
      <w:bookmarkEnd w:id="68"/>
      <w:r>
        <w:rPr>
          <w:rStyle w:val="14"/>
          <w:rFonts w:hint="eastAsia" w:ascii="仿宋" w:hAnsi="仿宋" w:eastAsia="仿宋" w:cs="Arial"/>
          <w:b/>
          <w:bCs/>
          <w:sz w:val="30"/>
          <w:szCs w:val="30"/>
        </w:rPr>
        <w:t>最大十名股东及报告期内变动情况</w:t>
      </w:r>
    </w:p>
    <w:p>
      <w:pPr>
        <w:pStyle w:val="10"/>
        <w:spacing w:before="0" w:beforeAutospacing="0" w:after="0" w:afterAutospacing="0" w:line="560" w:lineRule="exact"/>
        <w:ind w:firstLine="600" w:firstLineChars="200"/>
        <w:jc w:val="both"/>
        <w:rPr>
          <w:rFonts w:ascii="仿宋" w:hAnsi="仿宋" w:eastAsia="仿宋" w:cs="Times New Roman"/>
          <w:sz w:val="30"/>
          <w:szCs w:val="30"/>
          <w:highlight w:val="yellow"/>
        </w:rPr>
      </w:pPr>
      <w:r>
        <w:rPr>
          <w:rFonts w:hint="eastAsia" w:ascii="仿宋" w:hAnsi="仿宋" w:eastAsia="仿宋" w:cs="Times New Roman"/>
          <w:sz w:val="30"/>
          <w:szCs w:val="30"/>
        </w:rPr>
        <w:t>2025年度，本行最大和唯一大股东为山西侯马农村商业银行股份有限公司（主发起行），占股20%；共有十五名股东，最大股东持股1200万元，持股比例20%。具体如下：</w:t>
      </w:r>
    </w:p>
    <w:tbl>
      <w:tblPr>
        <w:tblStyle w:val="11"/>
        <w:tblW w:w="9521" w:type="dxa"/>
        <w:jc w:val="center"/>
        <w:tblInd w:w="0" w:type="dxa"/>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
      <w:tblGrid>
        <w:gridCol w:w="734"/>
        <w:gridCol w:w="5370"/>
        <w:gridCol w:w="2250"/>
        <w:gridCol w:w="1167"/>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440" w:hRule="atLeast"/>
          <w:jc w:val="center"/>
        </w:trPr>
        <w:tc>
          <w:tcPr>
            <w:tcW w:w="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560" w:lineRule="exact"/>
              <w:jc w:val="both"/>
              <w:rPr>
                <w:rFonts w:ascii="仿宋" w:hAnsi="仿宋" w:eastAsia="仿宋"/>
              </w:rPr>
            </w:pPr>
            <w:r>
              <w:rPr>
                <w:rStyle w:val="14"/>
                <w:rFonts w:hint="eastAsia" w:ascii="仿宋" w:hAnsi="仿宋" w:eastAsia="仿宋" w:cs="Times New Roman"/>
              </w:rPr>
              <w:t>序号</w:t>
            </w:r>
          </w:p>
        </w:tc>
        <w:tc>
          <w:tcPr>
            <w:tcW w:w="53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560" w:lineRule="exact"/>
              <w:ind w:firstLine="482" w:firstLineChars="200"/>
              <w:jc w:val="center"/>
              <w:rPr>
                <w:rFonts w:ascii="仿宋" w:hAnsi="仿宋" w:eastAsia="仿宋"/>
              </w:rPr>
            </w:pPr>
            <w:r>
              <w:rPr>
                <w:rStyle w:val="14"/>
                <w:rFonts w:hint="eastAsia" w:ascii="仿宋" w:hAnsi="仿宋" w:eastAsia="仿宋" w:cs="Times New Roman"/>
              </w:rPr>
              <w:t>姓</w:t>
            </w:r>
            <w:r>
              <w:rPr>
                <w:rStyle w:val="14"/>
                <w:rFonts w:hint="eastAsia" w:eastAsia="仿宋"/>
              </w:rPr>
              <w:t> </w:t>
            </w:r>
            <w:r>
              <w:rPr>
                <w:rStyle w:val="14"/>
                <w:rFonts w:hint="eastAsia" w:ascii="仿宋" w:hAnsi="仿宋" w:eastAsia="仿宋" w:cs="Times New Roman"/>
              </w:rPr>
              <w:t>名</w:t>
            </w:r>
          </w:p>
        </w:tc>
        <w:tc>
          <w:tcPr>
            <w:tcW w:w="2250" w:type="dxa"/>
            <w:tcBorders>
              <w:top w:val="single" w:color="auto" w:sz="4" w:space="0"/>
              <w:left w:val="single" w:color="auto" w:sz="4" w:space="0"/>
              <w:bottom w:val="single" w:color="auto" w:sz="4" w:space="0"/>
              <w:right w:val="single" w:color="DDDDDD" w:sz="8" w:space="0"/>
            </w:tcBorders>
            <w:tcMar>
              <w:top w:w="15" w:type="dxa"/>
              <w:left w:w="15" w:type="dxa"/>
              <w:bottom w:w="0" w:type="dxa"/>
              <w:right w:w="15" w:type="dxa"/>
            </w:tcMar>
            <w:vAlign w:val="center"/>
          </w:tcPr>
          <w:p>
            <w:pPr>
              <w:pStyle w:val="10"/>
              <w:spacing w:before="0" w:beforeAutospacing="0" w:after="0" w:afterAutospacing="0" w:line="560" w:lineRule="exact"/>
              <w:jc w:val="both"/>
              <w:rPr>
                <w:rFonts w:ascii="仿宋" w:hAnsi="仿宋" w:eastAsia="仿宋"/>
              </w:rPr>
            </w:pPr>
            <w:r>
              <w:rPr>
                <w:rStyle w:val="14"/>
                <w:rFonts w:hint="eastAsia" w:ascii="仿宋" w:hAnsi="仿宋" w:eastAsia="仿宋" w:cs="Times New Roman"/>
              </w:rPr>
              <w:t>持股股金额（万元）</w:t>
            </w:r>
          </w:p>
        </w:tc>
        <w:tc>
          <w:tcPr>
            <w:tcW w:w="1167" w:type="dxa"/>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560" w:lineRule="exact"/>
              <w:jc w:val="both"/>
              <w:rPr>
                <w:rFonts w:ascii="仿宋" w:hAnsi="仿宋" w:eastAsia="仿宋"/>
              </w:rPr>
            </w:pPr>
            <w:r>
              <w:rPr>
                <w:rStyle w:val="14"/>
                <w:rFonts w:hint="eastAsia" w:ascii="仿宋" w:hAnsi="仿宋" w:eastAsia="仿宋" w:cs="Times New Roman"/>
              </w:rPr>
              <w:t>股份比例%</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470" w:hRule="atLeast"/>
          <w:jc w:val="center"/>
        </w:trPr>
        <w:tc>
          <w:tcPr>
            <w:tcW w:w="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560" w:lineRule="exact"/>
              <w:jc w:val="center"/>
              <w:rPr>
                <w:rFonts w:ascii="仿宋" w:hAnsi="仿宋" w:eastAsia="仿宋"/>
              </w:rPr>
            </w:pPr>
            <w:r>
              <w:rPr>
                <w:rFonts w:hint="eastAsia" w:ascii="仿宋" w:hAnsi="仿宋" w:eastAsia="仿宋" w:cs="Times New Roman"/>
              </w:rPr>
              <w:t>1</w:t>
            </w:r>
          </w:p>
        </w:tc>
        <w:tc>
          <w:tcPr>
            <w:tcW w:w="53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560" w:lineRule="exact"/>
              <w:jc w:val="center"/>
              <w:rPr>
                <w:rFonts w:ascii="仿宋" w:hAnsi="仿宋" w:eastAsia="仿宋"/>
              </w:rPr>
            </w:pPr>
            <w:r>
              <w:rPr>
                <w:rFonts w:hint="eastAsia" w:ascii="仿宋" w:hAnsi="仿宋" w:eastAsia="仿宋" w:cs="Times New Roman"/>
              </w:rPr>
              <w:t>山西侯马农村商业银行股份有限公司（主发起行）</w:t>
            </w:r>
          </w:p>
        </w:tc>
        <w:tc>
          <w:tcPr>
            <w:tcW w:w="2250" w:type="dxa"/>
            <w:tcBorders>
              <w:top w:val="single" w:color="auto" w:sz="4" w:space="0"/>
              <w:left w:val="single" w:color="auto" w:sz="4" w:space="0"/>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560" w:lineRule="exact"/>
              <w:ind w:firstLine="480" w:firstLineChars="200"/>
              <w:jc w:val="center"/>
              <w:rPr>
                <w:rFonts w:ascii="仿宋" w:hAnsi="仿宋" w:eastAsia="仿宋"/>
              </w:rPr>
            </w:pPr>
            <w:r>
              <w:rPr>
                <w:rFonts w:hint="eastAsia" w:ascii="仿宋" w:hAnsi="仿宋" w:eastAsia="仿宋" w:cs="Times New Roman"/>
              </w:rPr>
              <w:t>1200</w:t>
            </w:r>
          </w:p>
        </w:tc>
        <w:tc>
          <w:tcPr>
            <w:tcW w:w="1167" w:type="dxa"/>
            <w:tcBorders>
              <w:top w:val="single" w:color="auto" w:sz="4" w:space="0"/>
              <w:left w:val="nil"/>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560" w:lineRule="exact"/>
              <w:ind w:firstLine="480" w:firstLineChars="200"/>
              <w:jc w:val="center"/>
              <w:rPr>
                <w:rFonts w:ascii="仿宋" w:hAnsi="仿宋" w:eastAsia="仿宋"/>
              </w:rPr>
            </w:pPr>
            <w:r>
              <w:rPr>
                <w:rFonts w:hint="eastAsia" w:ascii="仿宋" w:hAnsi="仿宋" w:eastAsia="仿宋" w:cs="Times New Roman"/>
              </w:rPr>
              <w:t>20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466" w:hRule="atLeast"/>
          <w:jc w:val="center"/>
        </w:trPr>
        <w:tc>
          <w:tcPr>
            <w:tcW w:w="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5"/>
              <w:spacing w:before="0" w:beforeAutospacing="0" w:after="0" w:afterAutospacing="0" w:line="600" w:lineRule="exact"/>
              <w:jc w:val="center"/>
              <w:rPr>
                <w:rFonts w:ascii="仿宋" w:hAnsi="仿宋" w:eastAsia="仿宋"/>
              </w:rPr>
            </w:pPr>
            <w:r>
              <w:rPr>
                <w:rFonts w:hint="eastAsia" w:ascii="仿宋" w:hAnsi="仿宋" w:eastAsia="仿宋"/>
              </w:rPr>
              <w:t>2</w:t>
            </w:r>
          </w:p>
        </w:tc>
        <w:tc>
          <w:tcPr>
            <w:tcW w:w="53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ascii="仿宋" w:hAnsi="仿宋" w:eastAsia="仿宋"/>
              </w:rPr>
              <w:t>吉林德惠农村商业银行股份有限公司</w:t>
            </w:r>
          </w:p>
        </w:tc>
        <w:tc>
          <w:tcPr>
            <w:tcW w:w="2250" w:type="dxa"/>
            <w:tcBorders>
              <w:top w:val="single" w:color="auto" w:sz="4" w:space="0"/>
              <w:left w:val="single" w:color="auto" w:sz="4" w:space="0"/>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594</w:t>
            </w:r>
          </w:p>
        </w:tc>
        <w:tc>
          <w:tcPr>
            <w:tcW w:w="1167" w:type="dxa"/>
            <w:tcBorders>
              <w:top w:val="single" w:color="auto" w:sz="4" w:space="0"/>
              <w:left w:val="nil"/>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9.9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421" w:hRule="atLeast"/>
          <w:jc w:val="center"/>
        </w:trPr>
        <w:tc>
          <w:tcPr>
            <w:tcW w:w="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3</w:t>
            </w:r>
          </w:p>
        </w:tc>
        <w:tc>
          <w:tcPr>
            <w:tcW w:w="53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薛胜利</w:t>
            </w:r>
          </w:p>
        </w:tc>
        <w:tc>
          <w:tcPr>
            <w:tcW w:w="2250" w:type="dxa"/>
            <w:tcBorders>
              <w:top w:val="nil"/>
              <w:left w:val="single" w:color="auto" w:sz="4" w:space="0"/>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600</w:t>
            </w:r>
          </w:p>
        </w:tc>
        <w:tc>
          <w:tcPr>
            <w:tcW w:w="1167" w:type="dxa"/>
            <w:tcBorders>
              <w:top w:val="nil"/>
              <w:left w:val="nil"/>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10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363" w:hRule="atLeast"/>
          <w:jc w:val="center"/>
        </w:trPr>
        <w:tc>
          <w:tcPr>
            <w:tcW w:w="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4</w:t>
            </w:r>
          </w:p>
        </w:tc>
        <w:tc>
          <w:tcPr>
            <w:tcW w:w="53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ascii="仿宋" w:hAnsi="仿宋" w:eastAsia="仿宋"/>
              </w:rPr>
              <w:t>杨长锁</w:t>
            </w:r>
          </w:p>
        </w:tc>
        <w:tc>
          <w:tcPr>
            <w:tcW w:w="2250" w:type="dxa"/>
            <w:tcBorders>
              <w:top w:val="single" w:color="auto" w:sz="4" w:space="0"/>
              <w:left w:val="single" w:color="auto" w:sz="4" w:space="0"/>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600</w:t>
            </w:r>
          </w:p>
        </w:tc>
        <w:tc>
          <w:tcPr>
            <w:tcW w:w="1167" w:type="dxa"/>
            <w:tcBorders>
              <w:top w:val="single" w:color="auto" w:sz="4" w:space="0"/>
              <w:left w:val="nil"/>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10</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384" w:hRule="atLeast"/>
          <w:jc w:val="center"/>
        </w:trPr>
        <w:tc>
          <w:tcPr>
            <w:tcW w:w="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5</w:t>
            </w:r>
          </w:p>
        </w:tc>
        <w:tc>
          <w:tcPr>
            <w:tcW w:w="53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rPr>
              <w:t>刘彩红</w:t>
            </w:r>
          </w:p>
        </w:tc>
        <w:tc>
          <w:tcPr>
            <w:tcW w:w="2250" w:type="dxa"/>
            <w:tcBorders>
              <w:top w:val="nil"/>
              <w:left w:val="single" w:color="auto" w:sz="4" w:space="0"/>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540</w:t>
            </w:r>
          </w:p>
        </w:tc>
        <w:tc>
          <w:tcPr>
            <w:tcW w:w="1167" w:type="dxa"/>
            <w:tcBorders>
              <w:top w:val="nil"/>
              <w:left w:val="nil"/>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9</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333" w:hRule="atLeast"/>
          <w:jc w:val="center"/>
        </w:trPr>
        <w:tc>
          <w:tcPr>
            <w:tcW w:w="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6</w:t>
            </w:r>
          </w:p>
        </w:tc>
        <w:tc>
          <w:tcPr>
            <w:tcW w:w="53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rPr>
              <w:t>魏海军</w:t>
            </w:r>
          </w:p>
        </w:tc>
        <w:tc>
          <w:tcPr>
            <w:tcW w:w="2250" w:type="dxa"/>
            <w:tcBorders>
              <w:top w:val="nil"/>
              <w:left w:val="single" w:color="auto" w:sz="4" w:space="0"/>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480</w:t>
            </w:r>
          </w:p>
        </w:tc>
        <w:tc>
          <w:tcPr>
            <w:tcW w:w="1167" w:type="dxa"/>
            <w:tcBorders>
              <w:top w:val="nil"/>
              <w:left w:val="nil"/>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8</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1" w:hRule="atLeast"/>
          <w:jc w:val="center"/>
        </w:trPr>
        <w:tc>
          <w:tcPr>
            <w:tcW w:w="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7</w:t>
            </w:r>
          </w:p>
        </w:tc>
        <w:tc>
          <w:tcPr>
            <w:tcW w:w="53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付雪琴</w:t>
            </w:r>
          </w:p>
        </w:tc>
        <w:tc>
          <w:tcPr>
            <w:tcW w:w="2250" w:type="dxa"/>
            <w:tcBorders>
              <w:top w:val="nil"/>
              <w:left w:val="single" w:color="auto" w:sz="4" w:space="0"/>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360</w:t>
            </w:r>
          </w:p>
        </w:tc>
        <w:tc>
          <w:tcPr>
            <w:tcW w:w="1167" w:type="dxa"/>
            <w:tcBorders>
              <w:top w:val="nil"/>
              <w:left w:val="nil"/>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404" w:hRule="atLeast"/>
          <w:jc w:val="center"/>
        </w:trPr>
        <w:tc>
          <w:tcPr>
            <w:tcW w:w="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8</w:t>
            </w:r>
          </w:p>
        </w:tc>
        <w:tc>
          <w:tcPr>
            <w:tcW w:w="53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段丽萍</w:t>
            </w:r>
          </w:p>
        </w:tc>
        <w:tc>
          <w:tcPr>
            <w:tcW w:w="2250" w:type="dxa"/>
            <w:tcBorders>
              <w:top w:val="nil"/>
              <w:left w:val="single" w:color="auto" w:sz="4" w:space="0"/>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300</w:t>
            </w:r>
          </w:p>
        </w:tc>
        <w:tc>
          <w:tcPr>
            <w:tcW w:w="1167" w:type="dxa"/>
            <w:tcBorders>
              <w:top w:val="nil"/>
              <w:left w:val="nil"/>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352" w:hRule="atLeast"/>
          <w:jc w:val="center"/>
        </w:trPr>
        <w:tc>
          <w:tcPr>
            <w:tcW w:w="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9</w:t>
            </w:r>
          </w:p>
        </w:tc>
        <w:tc>
          <w:tcPr>
            <w:tcW w:w="53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荆欣</w:t>
            </w:r>
          </w:p>
        </w:tc>
        <w:tc>
          <w:tcPr>
            <w:tcW w:w="2250" w:type="dxa"/>
            <w:tcBorders>
              <w:top w:val="single" w:color="auto" w:sz="4" w:space="0"/>
              <w:left w:val="single" w:color="auto" w:sz="4" w:space="0"/>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300</w:t>
            </w:r>
          </w:p>
        </w:tc>
        <w:tc>
          <w:tcPr>
            <w:tcW w:w="1167" w:type="dxa"/>
            <w:tcBorders>
              <w:top w:val="single" w:color="auto" w:sz="4" w:space="0"/>
              <w:left w:val="nil"/>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5</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jc w:val="center"/>
        </w:trPr>
        <w:tc>
          <w:tcPr>
            <w:tcW w:w="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jc w:val="center"/>
              <w:rPr>
                <w:rFonts w:ascii="仿宋" w:hAnsi="仿宋" w:eastAsia="仿宋"/>
              </w:rPr>
            </w:pPr>
            <w:r>
              <w:rPr>
                <w:rFonts w:hint="eastAsia" w:ascii="仿宋" w:hAnsi="仿宋" w:eastAsia="仿宋" w:cs="Times New Roman"/>
              </w:rPr>
              <w:t>10</w:t>
            </w:r>
          </w:p>
        </w:tc>
        <w:tc>
          <w:tcPr>
            <w:tcW w:w="53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袁淑兰</w:t>
            </w:r>
          </w:p>
        </w:tc>
        <w:tc>
          <w:tcPr>
            <w:tcW w:w="2250" w:type="dxa"/>
            <w:tcBorders>
              <w:top w:val="single" w:color="auto" w:sz="4" w:space="0"/>
              <w:left w:val="single" w:color="auto" w:sz="4" w:space="0"/>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206</w:t>
            </w:r>
          </w:p>
        </w:tc>
        <w:tc>
          <w:tcPr>
            <w:tcW w:w="1167" w:type="dxa"/>
            <w:tcBorders>
              <w:top w:val="single" w:color="auto" w:sz="4" w:space="0"/>
              <w:left w:val="nil"/>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3.44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jc w:val="center"/>
        </w:trPr>
        <w:tc>
          <w:tcPr>
            <w:tcW w:w="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jc w:val="center"/>
              <w:rPr>
                <w:rFonts w:ascii="仿宋" w:hAnsi="仿宋" w:eastAsia="仿宋" w:cs="Times New Roman"/>
              </w:rPr>
            </w:pPr>
            <w:r>
              <w:rPr>
                <w:rFonts w:hint="eastAsia" w:ascii="仿宋" w:hAnsi="仿宋" w:eastAsia="仿宋" w:cs="Times New Roman"/>
              </w:rPr>
              <w:t>11</w:t>
            </w:r>
          </w:p>
        </w:tc>
        <w:tc>
          <w:tcPr>
            <w:tcW w:w="53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程占平</w:t>
            </w:r>
          </w:p>
        </w:tc>
        <w:tc>
          <w:tcPr>
            <w:tcW w:w="2250" w:type="dxa"/>
            <w:tcBorders>
              <w:top w:val="nil"/>
              <w:left w:val="single" w:color="auto" w:sz="4" w:space="0"/>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240</w:t>
            </w:r>
          </w:p>
        </w:tc>
        <w:tc>
          <w:tcPr>
            <w:tcW w:w="1167" w:type="dxa"/>
            <w:tcBorders>
              <w:top w:val="nil"/>
              <w:left w:val="nil"/>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jc w:val="center"/>
        </w:trPr>
        <w:tc>
          <w:tcPr>
            <w:tcW w:w="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jc w:val="center"/>
              <w:rPr>
                <w:rFonts w:ascii="仿宋" w:hAnsi="仿宋" w:eastAsia="仿宋" w:cs="Times New Roman"/>
              </w:rPr>
            </w:pPr>
            <w:r>
              <w:rPr>
                <w:rFonts w:hint="eastAsia" w:ascii="仿宋" w:hAnsi="仿宋" w:eastAsia="仿宋" w:cs="Times New Roman"/>
              </w:rPr>
              <w:t>12</w:t>
            </w:r>
          </w:p>
        </w:tc>
        <w:tc>
          <w:tcPr>
            <w:tcW w:w="53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刘永忠</w:t>
            </w:r>
          </w:p>
        </w:tc>
        <w:tc>
          <w:tcPr>
            <w:tcW w:w="2250" w:type="dxa"/>
            <w:tcBorders>
              <w:top w:val="nil"/>
              <w:left w:val="single" w:color="auto" w:sz="4" w:space="0"/>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240</w:t>
            </w:r>
          </w:p>
        </w:tc>
        <w:tc>
          <w:tcPr>
            <w:tcW w:w="1167" w:type="dxa"/>
            <w:tcBorders>
              <w:top w:val="nil"/>
              <w:left w:val="nil"/>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4</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jc w:val="center"/>
        </w:trPr>
        <w:tc>
          <w:tcPr>
            <w:tcW w:w="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jc w:val="center"/>
              <w:rPr>
                <w:rFonts w:ascii="仿宋" w:hAnsi="仿宋" w:eastAsia="仿宋" w:cs="Times New Roman"/>
              </w:rPr>
            </w:pPr>
            <w:r>
              <w:rPr>
                <w:rFonts w:hint="eastAsia" w:ascii="仿宋" w:hAnsi="仿宋" w:eastAsia="仿宋" w:cs="Times New Roman"/>
              </w:rPr>
              <w:t>13</w:t>
            </w:r>
          </w:p>
        </w:tc>
        <w:tc>
          <w:tcPr>
            <w:tcW w:w="53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王稠虎</w:t>
            </w:r>
          </w:p>
        </w:tc>
        <w:tc>
          <w:tcPr>
            <w:tcW w:w="2250" w:type="dxa"/>
            <w:tcBorders>
              <w:top w:val="nil"/>
              <w:left w:val="single" w:color="auto" w:sz="4" w:space="0"/>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180</w:t>
            </w:r>
          </w:p>
        </w:tc>
        <w:tc>
          <w:tcPr>
            <w:tcW w:w="1167" w:type="dxa"/>
            <w:tcBorders>
              <w:top w:val="nil"/>
              <w:left w:val="nil"/>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3</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282" w:hRule="atLeast"/>
          <w:jc w:val="center"/>
        </w:trPr>
        <w:tc>
          <w:tcPr>
            <w:tcW w:w="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jc w:val="center"/>
              <w:rPr>
                <w:rFonts w:ascii="仿宋" w:hAnsi="仿宋" w:eastAsia="仿宋" w:cs="Times New Roman"/>
              </w:rPr>
            </w:pPr>
            <w:r>
              <w:rPr>
                <w:rFonts w:hint="eastAsia" w:ascii="仿宋" w:hAnsi="仿宋" w:eastAsia="仿宋" w:cs="Times New Roman"/>
              </w:rPr>
              <w:t>14</w:t>
            </w:r>
          </w:p>
        </w:tc>
        <w:tc>
          <w:tcPr>
            <w:tcW w:w="53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王勤生</w:t>
            </w:r>
          </w:p>
        </w:tc>
        <w:tc>
          <w:tcPr>
            <w:tcW w:w="2250" w:type="dxa"/>
            <w:tcBorders>
              <w:top w:val="single" w:color="auto" w:sz="4" w:space="0"/>
              <w:left w:val="single" w:color="auto" w:sz="4" w:space="0"/>
              <w:bottom w:val="single" w:color="auto" w:sz="4"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120</w:t>
            </w:r>
          </w:p>
        </w:tc>
        <w:tc>
          <w:tcPr>
            <w:tcW w:w="1167" w:type="dxa"/>
            <w:tcBorders>
              <w:top w:val="single" w:color="auto" w:sz="4" w:space="0"/>
              <w:left w:val="nil"/>
              <w:bottom w:val="single" w:color="auto" w:sz="4"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2</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543" w:hRule="atLeast"/>
          <w:jc w:val="center"/>
        </w:trPr>
        <w:tc>
          <w:tcPr>
            <w:tcW w:w="73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jc w:val="center"/>
              <w:rPr>
                <w:rFonts w:ascii="仿宋" w:hAnsi="仿宋" w:eastAsia="仿宋" w:cs="Times New Roman"/>
              </w:rPr>
            </w:pPr>
            <w:r>
              <w:rPr>
                <w:rFonts w:hint="eastAsia" w:ascii="仿宋" w:hAnsi="仿宋" w:eastAsia="仿宋" w:cs="Times New Roman"/>
              </w:rPr>
              <w:t>15</w:t>
            </w:r>
          </w:p>
        </w:tc>
        <w:tc>
          <w:tcPr>
            <w:tcW w:w="53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席小玲</w:t>
            </w:r>
          </w:p>
        </w:tc>
        <w:tc>
          <w:tcPr>
            <w:tcW w:w="2250" w:type="dxa"/>
            <w:tcBorders>
              <w:top w:val="single" w:color="auto" w:sz="4" w:space="0"/>
              <w:left w:val="single" w:color="auto" w:sz="4" w:space="0"/>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40</w:t>
            </w:r>
          </w:p>
        </w:tc>
        <w:tc>
          <w:tcPr>
            <w:tcW w:w="1167" w:type="dxa"/>
            <w:tcBorders>
              <w:top w:val="single" w:color="auto" w:sz="4" w:space="0"/>
              <w:left w:val="nil"/>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cs="Times New Roman"/>
              </w:rPr>
            </w:pPr>
            <w:r>
              <w:rPr>
                <w:rFonts w:hint="eastAsia" w:ascii="仿宋" w:hAnsi="仿宋" w:eastAsia="仿宋" w:cs="Times New Roman"/>
              </w:rPr>
              <w:t>0.66</w:t>
            </w:r>
          </w:p>
        </w:tc>
      </w:tr>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15" w:type="dxa"/>
            <w:left w:w="15" w:type="dxa"/>
            <w:bottom w:w="15" w:type="dxa"/>
            <w:right w:w="15" w:type="dxa"/>
          </w:tblCellMar>
        </w:tblPrEx>
        <w:trPr>
          <w:trHeight w:val="410" w:hRule="atLeast"/>
          <w:jc w:val="center"/>
        </w:trPr>
        <w:tc>
          <w:tcPr>
            <w:tcW w:w="6104"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合计</w:t>
            </w:r>
          </w:p>
        </w:tc>
        <w:tc>
          <w:tcPr>
            <w:tcW w:w="2250" w:type="dxa"/>
            <w:tcBorders>
              <w:top w:val="nil"/>
              <w:left w:val="single" w:color="auto" w:sz="4" w:space="0"/>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6000</w:t>
            </w:r>
          </w:p>
        </w:tc>
        <w:tc>
          <w:tcPr>
            <w:tcW w:w="1167" w:type="dxa"/>
            <w:tcBorders>
              <w:top w:val="nil"/>
              <w:left w:val="nil"/>
              <w:bottom w:val="single" w:color="auto" w:sz="8" w:space="0"/>
              <w:right w:val="single" w:color="auto" w:sz="8" w:space="0"/>
            </w:tcBorders>
            <w:tcMar>
              <w:top w:w="15" w:type="dxa"/>
              <w:left w:w="15" w:type="dxa"/>
              <w:bottom w:w="0" w:type="dxa"/>
              <w:right w:w="15" w:type="dxa"/>
            </w:tcMar>
            <w:vAlign w:val="center"/>
          </w:tcPr>
          <w:p>
            <w:pPr>
              <w:pStyle w:val="10"/>
              <w:spacing w:before="0" w:beforeAutospacing="0" w:after="0" w:afterAutospacing="0" w:line="600" w:lineRule="exact"/>
              <w:ind w:firstLine="480" w:firstLineChars="200"/>
              <w:jc w:val="center"/>
              <w:rPr>
                <w:rFonts w:ascii="仿宋" w:hAnsi="仿宋" w:eastAsia="仿宋"/>
              </w:rPr>
            </w:pPr>
            <w:r>
              <w:rPr>
                <w:rFonts w:hint="eastAsia" w:ascii="仿宋" w:hAnsi="仿宋" w:eastAsia="仿宋" w:cs="Times New Roman"/>
              </w:rPr>
              <w:t>100</w:t>
            </w:r>
          </w:p>
        </w:tc>
      </w:tr>
    </w:tbl>
    <w:p>
      <w:pPr>
        <w:pStyle w:val="3"/>
        <w:spacing w:line="560" w:lineRule="exact"/>
        <w:ind w:firstLine="602" w:firstLineChars="200"/>
        <w:jc w:val="both"/>
        <w:rPr>
          <w:rFonts w:ascii="仿宋" w:hAnsi="仿宋" w:eastAsia="仿宋"/>
          <w:sz w:val="30"/>
          <w:szCs w:val="30"/>
        </w:rPr>
      </w:pPr>
      <w:bookmarkStart w:id="69" w:name="_Toc481080018"/>
      <w:r>
        <w:rPr>
          <w:rStyle w:val="14"/>
          <w:rFonts w:hint="eastAsia" w:ascii="仿宋" w:hAnsi="仿宋" w:eastAsia="仿宋" w:cs="Arial"/>
          <w:b/>
          <w:bCs/>
          <w:sz w:val="30"/>
          <w:szCs w:val="30"/>
        </w:rPr>
        <w:t>二、</w:t>
      </w:r>
      <w:bookmarkEnd w:id="69"/>
      <w:r>
        <w:rPr>
          <w:rStyle w:val="14"/>
          <w:rFonts w:hint="eastAsia" w:ascii="仿宋" w:hAnsi="仿宋" w:eastAsia="仿宋" w:cs="Arial"/>
          <w:b/>
          <w:bCs/>
          <w:sz w:val="30"/>
          <w:szCs w:val="30"/>
        </w:rPr>
        <w:t>增加或减少注册资本、分立合并事项</w:t>
      </w:r>
    </w:p>
    <w:p>
      <w:pPr>
        <w:pStyle w:val="10"/>
        <w:spacing w:before="0" w:beforeAutospacing="0" w:after="0" w:afterAutospacing="0" w:line="560" w:lineRule="exact"/>
        <w:ind w:firstLine="600" w:firstLineChars="200"/>
        <w:jc w:val="both"/>
        <w:rPr>
          <w:rFonts w:ascii="仿宋" w:hAnsi="仿宋" w:eastAsia="仿宋"/>
          <w:sz w:val="30"/>
          <w:szCs w:val="30"/>
        </w:rPr>
      </w:pPr>
      <w:r>
        <w:rPr>
          <w:rFonts w:hint="eastAsia" w:ascii="仿宋" w:hAnsi="仿宋" w:eastAsia="仿宋" w:cs="Times New Roman"/>
          <w:sz w:val="30"/>
          <w:szCs w:val="30"/>
        </w:rPr>
        <w:t>报告期内，本行没有增加或减少注册资本，无分立合并事项。</w:t>
      </w:r>
    </w:p>
    <w:p>
      <w:pPr>
        <w:pStyle w:val="10"/>
        <w:spacing w:before="0" w:beforeAutospacing="0" w:after="0" w:afterAutospacing="0" w:line="560" w:lineRule="exact"/>
        <w:ind w:firstLine="602" w:firstLineChars="200"/>
        <w:jc w:val="both"/>
        <w:rPr>
          <w:rFonts w:ascii="仿宋" w:hAnsi="仿宋" w:eastAsia="仿宋"/>
          <w:sz w:val="30"/>
          <w:szCs w:val="30"/>
          <w:highlight w:val="yellow"/>
        </w:rPr>
      </w:pPr>
      <w:bookmarkStart w:id="70" w:name="_Toc481080019"/>
      <w:r>
        <w:rPr>
          <w:rStyle w:val="14"/>
          <w:rFonts w:hint="eastAsia" w:ascii="仿宋" w:hAnsi="仿宋" w:eastAsia="仿宋" w:cs="Arial"/>
          <w:sz w:val="30"/>
          <w:szCs w:val="30"/>
        </w:rPr>
        <w:t>三、</w:t>
      </w:r>
      <w:bookmarkEnd w:id="70"/>
      <w:r>
        <w:rPr>
          <w:rStyle w:val="14"/>
          <w:rFonts w:hint="eastAsia" w:ascii="仿宋" w:hAnsi="仿宋" w:eastAsia="仿宋" w:cs="Arial"/>
          <w:sz w:val="30"/>
          <w:szCs w:val="30"/>
        </w:rPr>
        <w:t>本行、本行董事会及董事接受处罚情况</w:t>
      </w:r>
    </w:p>
    <w:p>
      <w:pPr>
        <w:pStyle w:val="10"/>
        <w:spacing w:before="0" w:beforeAutospacing="0" w:after="0" w:afterAutospacing="0" w:line="560" w:lineRule="exact"/>
        <w:ind w:firstLine="600" w:firstLineChars="200"/>
        <w:jc w:val="both"/>
        <w:rPr>
          <w:rFonts w:ascii="仿宋" w:hAnsi="仿宋" w:eastAsia="仿宋"/>
          <w:sz w:val="30"/>
          <w:szCs w:val="30"/>
        </w:rPr>
      </w:pPr>
      <w:r>
        <w:rPr>
          <w:rFonts w:hint="eastAsia" w:ascii="仿宋" w:hAnsi="仿宋" w:eastAsia="仿宋" w:cs="Times New Roman"/>
          <w:sz w:val="30"/>
          <w:szCs w:val="30"/>
        </w:rPr>
        <w:t>报告期内，本行接到中国人民银行运城市分行下发的《行政处罚决定书》（运银罚决字13号）文件，对本行董事杨长锁因违反反洗钱规定，依据《中华人民共和国反洗钱法》进行行政处罚（罚款）。</w:t>
      </w:r>
    </w:p>
    <w:p>
      <w:pPr>
        <w:pStyle w:val="10"/>
        <w:spacing w:before="0" w:beforeAutospacing="0" w:after="0" w:afterAutospacing="0" w:line="600" w:lineRule="exact"/>
        <w:ind w:firstLine="600" w:firstLineChars="200"/>
        <w:jc w:val="right"/>
        <w:rPr>
          <w:sz w:val="30"/>
          <w:szCs w:val="30"/>
        </w:rPr>
      </w:pPr>
    </w:p>
    <w:p>
      <w:pPr>
        <w:pStyle w:val="10"/>
        <w:spacing w:before="0" w:beforeAutospacing="0" w:after="0" w:afterAutospacing="0" w:line="600" w:lineRule="exact"/>
        <w:ind w:firstLine="600" w:firstLineChars="200"/>
        <w:jc w:val="right"/>
        <w:rPr>
          <w:rFonts w:ascii="仿宋" w:hAnsi="仿宋" w:eastAsia="仿宋"/>
          <w:sz w:val="30"/>
          <w:szCs w:val="30"/>
        </w:rPr>
      </w:pPr>
      <w:r>
        <w:rPr>
          <w:rFonts w:hint="eastAsia"/>
          <w:sz w:val="30"/>
          <w:szCs w:val="30"/>
        </w:rPr>
        <w:t> </w:t>
      </w:r>
      <w:r>
        <w:rPr>
          <w:rFonts w:hint="eastAsia" w:ascii="仿宋" w:hAnsi="仿宋" w:eastAsia="仿宋" w:cs="Times New Roman"/>
          <w:sz w:val="30"/>
          <w:szCs w:val="30"/>
        </w:rPr>
        <w:t>临猗县新田村镇银行股份有限公司</w:t>
      </w:r>
    </w:p>
    <w:p>
      <w:pPr>
        <w:pStyle w:val="10"/>
        <w:spacing w:before="0" w:beforeAutospacing="0" w:after="0" w:afterAutospacing="0" w:line="600" w:lineRule="exact"/>
        <w:ind w:firstLine="600" w:firstLineChars="200"/>
        <w:jc w:val="right"/>
        <w:rPr>
          <w:rFonts w:ascii="仿宋" w:hAnsi="仿宋" w:eastAsia="仿宋"/>
          <w:sz w:val="30"/>
          <w:szCs w:val="30"/>
        </w:rPr>
      </w:pPr>
      <w:r>
        <w:rPr>
          <w:rFonts w:hint="eastAsia" w:ascii="仿宋" w:hAnsi="仿宋" w:eastAsia="仿宋" w:cs="Times New Roman"/>
          <w:sz w:val="30"/>
          <w:szCs w:val="30"/>
        </w:rPr>
        <w:t>二0二五年十二月三十一日</w:t>
      </w:r>
    </w:p>
    <w:sectPr>
      <w:footerReference r:id="rId3" w:type="default"/>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78832"/>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31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34</w:t>
            </w:r>
            <w:r>
              <w:rPr>
                <w:b/>
                <w:sz w:val="24"/>
                <w:szCs w:val="24"/>
              </w:rPr>
              <w:fldChar w:fldCharType="end"/>
            </w:r>
          </w:p>
        </w:sdtContent>
      </w:sdt>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noPunctuationKerning w:val="1"/>
  <w:characterSpacingControl w:val="doNotCompress"/>
  <w:compat>
    <w:spaceForUL/>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gyMTlkYzgyNjMwZGU0MTEzMmJkMjkzZTQ2NGVlMWQifQ=="/>
  </w:docVars>
  <w:rsids>
    <w:rsidRoot w:val="00172A27"/>
    <w:rsid w:val="00014E2D"/>
    <w:rsid w:val="000179BF"/>
    <w:rsid w:val="00027F34"/>
    <w:rsid w:val="00033005"/>
    <w:rsid w:val="00033118"/>
    <w:rsid w:val="0004026E"/>
    <w:rsid w:val="00041B7D"/>
    <w:rsid w:val="00044F7D"/>
    <w:rsid w:val="00054701"/>
    <w:rsid w:val="0006039E"/>
    <w:rsid w:val="000614C2"/>
    <w:rsid w:val="00064932"/>
    <w:rsid w:val="00067C82"/>
    <w:rsid w:val="00070890"/>
    <w:rsid w:val="00073C66"/>
    <w:rsid w:val="00080EBD"/>
    <w:rsid w:val="00081BFF"/>
    <w:rsid w:val="0008230C"/>
    <w:rsid w:val="00093C71"/>
    <w:rsid w:val="000963B5"/>
    <w:rsid w:val="000A0F5B"/>
    <w:rsid w:val="000A31AF"/>
    <w:rsid w:val="000A7898"/>
    <w:rsid w:val="000A7F46"/>
    <w:rsid w:val="000B6F41"/>
    <w:rsid w:val="000C58C1"/>
    <w:rsid w:val="000D07C4"/>
    <w:rsid w:val="000E751E"/>
    <w:rsid w:val="000F5142"/>
    <w:rsid w:val="000F5C7D"/>
    <w:rsid w:val="000F6731"/>
    <w:rsid w:val="001048B8"/>
    <w:rsid w:val="00111444"/>
    <w:rsid w:val="00122337"/>
    <w:rsid w:val="00125F9D"/>
    <w:rsid w:val="001275C9"/>
    <w:rsid w:val="00133D20"/>
    <w:rsid w:val="0014452C"/>
    <w:rsid w:val="00146BB8"/>
    <w:rsid w:val="00147292"/>
    <w:rsid w:val="00147524"/>
    <w:rsid w:val="0015615B"/>
    <w:rsid w:val="00162C51"/>
    <w:rsid w:val="00162F67"/>
    <w:rsid w:val="00163A8F"/>
    <w:rsid w:val="00165E29"/>
    <w:rsid w:val="001663CA"/>
    <w:rsid w:val="0016787A"/>
    <w:rsid w:val="00172A27"/>
    <w:rsid w:val="00174B54"/>
    <w:rsid w:val="00174CCF"/>
    <w:rsid w:val="00176A8D"/>
    <w:rsid w:val="00177FA0"/>
    <w:rsid w:val="001828F5"/>
    <w:rsid w:val="001853AD"/>
    <w:rsid w:val="001866A1"/>
    <w:rsid w:val="00187AD0"/>
    <w:rsid w:val="001946D6"/>
    <w:rsid w:val="0019528C"/>
    <w:rsid w:val="001A26EF"/>
    <w:rsid w:val="001C20CD"/>
    <w:rsid w:val="001D2D0F"/>
    <w:rsid w:val="001E298F"/>
    <w:rsid w:val="001E51F4"/>
    <w:rsid w:val="001E7712"/>
    <w:rsid w:val="001E7C11"/>
    <w:rsid w:val="001F06F2"/>
    <w:rsid w:val="001F2A06"/>
    <w:rsid w:val="001F3FC2"/>
    <w:rsid w:val="001F4DB9"/>
    <w:rsid w:val="00202591"/>
    <w:rsid w:val="00211D61"/>
    <w:rsid w:val="002145E6"/>
    <w:rsid w:val="0022248D"/>
    <w:rsid w:val="00236B06"/>
    <w:rsid w:val="002426BC"/>
    <w:rsid w:val="0024355F"/>
    <w:rsid w:val="00246A6D"/>
    <w:rsid w:val="00252BEC"/>
    <w:rsid w:val="00253EB5"/>
    <w:rsid w:val="00254655"/>
    <w:rsid w:val="00260AD0"/>
    <w:rsid w:val="00280824"/>
    <w:rsid w:val="00281732"/>
    <w:rsid w:val="0029085C"/>
    <w:rsid w:val="00292987"/>
    <w:rsid w:val="002A07A5"/>
    <w:rsid w:val="002B003E"/>
    <w:rsid w:val="002B0D0C"/>
    <w:rsid w:val="002B1763"/>
    <w:rsid w:val="002B4FA5"/>
    <w:rsid w:val="002C0BFD"/>
    <w:rsid w:val="002C193C"/>
    <w:rsid w:val="002C1A40"/>
    <w:rsid w:val="002C5ACD"/>
    <w:rsid w:val="002C7992"/>
    <w:rsid w:val="002D1A28"/>
    <w:rsid w:val="002D64DF"/>
    <w:rsid w:val="002E156A"/>
    <w:rsid w:val="002E254D"/>
    <w:rsid w:val="002E5435"/>
    <w:rsid w:val="002E5766"/>
    <w:rsid w:val="002E6E96"/>
    <w:rsid w:val="002F0934"/>
    <w:rsid w:val="002F4ECA"/>
    <w:rsid w:val="002F76A0"/>
    <w:rsid w:val="00303AC2"/>
    <w:rsid w:val="0030621F"/>
    <w:rsid w:val="00310407"/>
    <w:rsid w:val="00310B7B"/>
    <w:rsid w:val="00316235"/>
    <w:rsid w:val="00317A27"/>
    <w:rsid w:val="0032148A"/>
    <w:rsid w:val="00323B43"/>
    <w:rsid w:val="00324862"/>
    <w:rsid w:val="00326136"/>
    <w:rsid w:val="003262E7"/>
    <w:rsid w:val="003265D4"/>
    <w:rsid w:val="00327C2C"/>
    <w:rsid w:val="00331E2E"/>
    <w:rsid w:val="003416A1"/>
    <w:rsid w:val="00342E02"/>
    <w:rsid w:val="00345399"/>
    <w:rsid w:val="003474EA"/>
    <w:rsid w:val="003631ED"/>
    <w:rsid w:val="00365F94"/>
    <w:rsid w:val="00366751"/>
    <w:rsid w:val="00373D4C"/>
    <w:rsid w:val="0037411C"/>
    <w:rsid w:val="003806D5"/>
    <w:rsid w:val="00380CD6"/>
    <w:rsid w:val="00390428"/>
    <w:rsid w:val="00390AD6"/>
    <w:rsid w:val="003A74D3"/>
    <w:rsid w:val="003B0317"/>
    <w:rsid w:val="003B152B"/>
    <w:rsid w:val="003B316A"/>
    <w:rsid w:val="003B4E13"/>
    <w:rsid w:val="003B576D"/>
    <w:rsid w:val="003C34D0"/>
    <w:rsid w:val="003C40FA"/>
    <w:rsid w:val="003D37D8"/>
    <w:rsid w:val="003F1D10"/>
    <w:rsid w:val="003F394A"/>
    <w:rsid w:val="003F5769"/>
    <w:rsid w:val="003F59DB"/>
    <w:rsid w:val="003F669F"/>
    <w:rsid w:val="003F6A29"/>
    <w:rsid w:val="00400B26"/>
    <w:rsid w:val="00401988"/>
    <w:rsid w:val="00405AEE"/>
    <w:rsid w:val="004068D9"/>
    <w:rsid w:val="00411068"/>
    <w:rsid w:val="0041154E"/>
    <w:rsid w:val="004119FE"/>
    <w:rsid w:val="0041715F"/>
    <w:rsid w:val="00421B7F"/>
    <w:rsid w:val="00426133"/>
    <w:rsid w:val="004317D4"/>
    <w:rsid w:val="004337EB"/>
    <w:rsid w:val="004358AB"/>
    <w:rsid w:val="00436896"/>
    <w:rsid w:val="00441563"/>
    <w:rsid w:val="004419AD"/>
    <w:rsid w:val="00444D55"/>
    <w:rsid w:val="00451C4E"/>
    <w:rsid w:val="00462ACA"/>
    <w:rsid w:val="00463302"/>
    <w:rsid w:val="004638ED"/>
    <w:rsid w:val="00467014"/>
    <w:rsid w:val="00472394"/>
    <w:rsid w:val="00472C56"/>
    <w:rsid w:val="00474D12"/>
    <w:rsid w:val="004755AB"/>
    <w:rsid w:val="004758BC"/>
    <w:rsid w:val="00482F3F"/>
    <w:rsid w:val="0048781F"/>
    <w:rsid w:val="00490562"/>
    <w:rsid w:val="004918AD"/>
    <w:rsid w:val="00492720"/>
    <w:rsid w:val="00493C71"/>
    <w:rsid w:val="004946FC"/>
    <w:rsid w:val="00496CAC"/>
    <w:rsid w:val="004A5FB3"/>
    <w:rsid w:val="004C1162"/>
    <w:rsid w:val="004C4B1C"/>
    <w:rsid w:val="004E74E3"/>
    <w:rsid w:val="004F0D3B"/>
    <w:rsid w:val="004F5F25"/>
    <w:rsid w:val="0050089C"/>
    <w:rsid w:val="005075D1"/>
    <w:rsid w:val="00515292"/>
    <w:rsid w:val="00515AB9"/>
    <w:rsid w:val="00517685"/>
    <w:rsid w:val="00523042"/>
    <w:rsid w:val="005239B1"/>
    <w:rsid w:val="0052440E"/>
    <w:rsid w:val="00524889"/>
    <w:rsid w:val="0052733B"/>
    <w:rsid w:val="0053025C"/>
    <w:rsid w:val="0054146C"/>
    <w:rsid w:val="00541CFF"/>
    <w:rsid w:val="005424AD"/>
    <w:rsid w:val="0054552C"/>
    <w:rsid w:val="005477DD"/>
    <w:rsid w:val="005508A0"/>
    <w:rsid w:val="00553A2B"/>
    <w:rsid w:val="00554953"/>
    <w:rsid w:val="00561C4E"/>
    <w:rsid w:val="00564BFA"/>
    <w:rsid w:val="00573B98"/>
    <w:rsid w:val="00580494"/>
    <w:rsid w:val="00584129"/>
    <w:rsid w:val="00596795"/>
    <w:rsid w:val="00597043"/>
    <w:rsid w:val="0059761B"/>
    <w:rsid w:val="005A31FF"/>
    <w:rsid w:val="005B14BC"/>
    <w:rsid w:val="005B3C93"/>
    <w:rsid w:val="005B61E0"/>
    <w:rsid w:val="005C7ED6"/>
    <w:rsid w:val="005D0F39"/>
    <w:rsid w:val="005D1EED"/>
    <w:rsid w:val="005D23CC"/>
    <w:rsid w:val="005D4052"/>
    <w:rsid w:val="005D594D"/>
    <w:rsid w:val="005D71C6"/>
    <w:rsid w:val="005E29BB"/>
    <w:rsid w:val="005E4A5D"/>
    <w:rsid w:val="005F001B"/>
    <w:rsid w:val="005F10E5"/>
    <w:rsid w:val="006110B0"/>
    <w:rsid w:val="0061141E"/>
    <w:rsid w:val="0061221C"/>
    <w:rsid w:val="006134C6"/>
    <w:rsid w:val="006178AA"/>
    <w:rsid w:val="00623529"/>
    <w:rsid w:val="00624FA6"/>
    <w:rsid w:val="006268F9"/>
    <w:rsid w:val="00627F54"/>
    <w:rsid w:val="00635DA9"/>
    <w:rsid w:val="00637865"/>
    <w:rsid w:val="006378A4"/>
    <w:rsid w:val="00640A0C"/>
    <w:rsid w:val="00641A6C"/>
    <w:rsid w:val="00644165"/>
    <w:rsid w:val="006741B7"/>
    <w:rsid w:val="00682675"/>
    <w:rsid w:val="0069454B"/>
    <w:rsid w:val="006A07D2"/>
    <w:rsid w:val="006A2A9F"/>
    <w:rsid w:val="006A7096"/>
    <w:rsid w:val="006A7192"/>
    <w:rsid w:val="006B3EE5"/>
    <w:rsid w:val="006B4CDD"/>
    <w:rsid w:val="006C1C1D"/>
    <w:rsid w:val="006C39B0"/>
    <w:rsid w:val="006C6740"/>
    <w:rsid w:val="006C7B4C"/>
    <w:rsid w:val="006D268F"/>
    <w:rsid w:val="006D334D"/>
    <w:rsid w:val="006E09CF"/>
    <w:rsid w:val="006E3391"/>
    <w:rsid w:val="006E3CD0"/>
    <w:rsid w:val="006E6184"/>
    <w:rsid w:val="006F070B"/>
    <w:rsid w:val="00702414"/>
    <w:rsid w:val="00706886"/>
    <w:rsid w:val="0071089F"/>
    <w:rsid w:val="00713EAF"/>
    <w:rsid w:val="00714B2C"/>
    <w:rsid w:val="00714CAD"/>
    <w:rsid w:val="00721DD7"/>
    <w:rsid w:val="00723A70"/>
    <w:rsid w:val="0072683E"/>
    <w:rsid w:val="00727454"/>
    <w:rsid w:val="00732120"/>
    <w:rsid w:val="00735204"/>
    <w:rsid w:val="00740B62"/>
    <w:rsid w:val="00743E53"/>
    <w:rsid w:val="00755A73"/>
    <w:rsid w:val="00755C96"/>
    <w:rsid w:val="00755F35"/>
    <w:rsid w:val="007576C7"/>
    <w:rsid w:val="00760DF5"/>
    <w:rsid w:val="007641C3"/>
    <w:rsid w:val="0076478F"/>
    <w:rsid w:val="00773626"/>
    <w:rsid w:val="00777246"/>
    <w:rsid w:val="00780187"/>
    <w:rsid w:val="00791DA5"/>
    <w:rsid w:val="007A49E3"/>
    <w:rsid w:val="007A70D0"/>
    <w:rsid w:val="007C3FEA"/>
    <w:rsid w:val="007C7DBE"/>
    <w:rsid w:val="007D2EE4"/>
    <w:rsid w:val="007E4B18"/>
    <w:rsid w:val="007E6730"/>
    <w:rsid w:val="007F1388"/>
    <w:rsid w:val="007F2B51"/>
    <w:rsid w:val="007F56BF"/>
    <w:rsid w:val="00802E44"/>
    <w:rsid w:val="00802F77"/>
    <w:rsid w:val="00813916"/>
    <w:rsid w:val="00817D09"/>
    <w:rsid w:val="0082114C"/>
    <w:rsid w:val="008246F4"/>
    <w:rsid w:val="008261B1"/>
    <w:rsid w:val="0083065C"/>
    <w:rsid w:val="00833416"/>
    <w:rsid w:val="0083363A"/>
    <w:rsid w:val="00836FAF"/>
    <w:rsid w:val="00837B73"/>
    <w:rsid w:val="008441F0"/>
    <w:rsid w:val="008448FC"/>
    <w:rsid w:val="00844AA1"/>
    <w:rsid w:val="00846B04"/>
    <w:rsid w:val="0085377A"/>
    <w:rsid w:val="00855A2C"/>
    <w:rsid w:val="00863BA3"/>
    <w:rsid w:val="00864404"/>
    <w:rsid w:val="008663FB"/>
    <w:rsid w:val="00871F2E"/>
    <w:rsid w:val="00872307"/>
    <w:rsid w:val="00876312"/>
    <w:rsid w:val="00876795"/>
    <w:rsid w:val="008767C7"/>
    <w:rsid w:val="00877A21"/>
    <w:rsid w:val="00887A65"/>
    <w:rsid w:val="008915F8"/>
    <w:rsid w:val="00893771"/>
    <w:rsid w:val="008A0E5C"/>
    <w:rsid w:val="008A5673"/>
    <w:rsid w:val="008A64C2"/>
    <w:rsid w:val="008B46BE"/>
    <w:rsid w:val="008B7726"/>
    <w:rsid w:val="008C6A81"/>
    <w:rsid w:val="008D3524"/>
    <w:rsid w:val="008D6C47"/>
    <w:rsid w:val="008E2E5F"/>
    <w:rsid w:val="008E445F"/>
    <w:rsid w:val="008F527C"/>
    <w:rsid w:val="008F63F9"/>
    <w:rsid w:val="008F63FC"/>
    <w:rsid w:val="009006D9"/>
    <w:rsid w:val="009038D0"/>
    <w:rsid w:val="0091290E"/>
    <w:rsid w:val="00912C88"/>
    <w:rsid w:val="0091463B"/>
    <w:rsid w:val="00914A48"/>
    <w:rsid w:val="00915C20"/>
    <w:rsid w:val="009203F0"/>
    <w:rsid w:val="00920CDA"/>
    <w:rsid w:val="00922AFC"/>
    <w:rsid w:val="00924CBE"/>
    <w:rsid w:val="00926708"/>
    <w:rsid w:val="0092725D"/>
    <w:rsid w:val="0093597C"/>
    <w:rsid w:val="00936284"/>
    <w:rsid w:val="009366B2"/>
    <w:rsid w:val="009427C2"/>
    <w:rsid w:val="0096103D"/>
    <w:rsid w:val="00964AFF"/>
    <w:rsid w:val="00965371"/>
    <w:rsid w:val="009706EB"/>
    <w:rsid w:val="00971BE2"/>
    <w:rsid w:val="00984E4B"/>
    <w:rsid w:val="00985C74"/>
    <w:rsid w:val="00991B89"/>
    <w:rsid w:val="009940A4"/>
    <w:rsid w:val="009947D7"/>
    <w:rsid w:val="009959EC"/>
    <w:rsid w:val="00997F78"/>
    <w:rsid w:val="009A2292"/>
    <w:rsid w:val="009A3DE7"/>
    <w:rsid w:val="009B22F6"/>
    <w:rsid w:val="009B34FE"/>
    <w:rsid w:val="009C0982"/>
    <w:rsid w:val="009C2FB5"/>
    <w:rsid w:val="009C3484"/>
    <w:rsid w:val="009D533F"/>
    <w:rsid w:val="009E2301"/>
    <w:rsid w:val="009F0981"/>
    <w:rsid w:val="009F3E71"/>
    <w:rsid w:val="009F6D4D"/>
    <w:rsid w:val="00A0752D"/>
    <w:rsid w:val="00A133A8"/>
    <w:rsid w:val="00A17EE7"/>
    <w:rsid w:val="00A21334"/>
    <w:rsid w:val="00A25694"/>
    <w:rsid w:val="00A33A8D"/>
    <w:rsid w:val="00A36190"/>
    <w:rsid w:val="00A44F65"/>
    <w:rsid w:val="00A45245"/>
    <w:rsid w:val="00A45CDE"/>
    <w:rsid w:val="00A508AC"/>
    <w:rsid w:val="00A52B10"/>
    <w:rsid w:val="00A552A1"/>
    <w:rsid w:val="00A55B27"/>
    <w:rsid w:val="00A55BF5"/>
    <w:rsid w:val="00A635F0"/>
    <w:rsid w:val="00A67E24"/>
    <w:rsid w:val="00A73129"/>
    <w:rsid w:val="00A740EC"/>
    <w:rsid w:val="00A754C0"/>
    <w:rsid w:val="00A90CC5"/>
    <w:rsid w:val="00A91D2F"/>
    <w:rsid w:val="00A95B83"/>
    <w:rsid w:val="00AA0650"/>
    <w:rsid w:val="00AA0C57"/>
    <w:rsid w:val="00AA1EF7"/>
    <w:rsid w:val="00AA63D0"/>
    <w:rsid w:val="00AC0D70"/>
    <w:rsid w:val="00AC3D79"/>
    <w:rsid w:val="00AC5BA6"/>
    <w:rsid w:val="00AD2429"/>
    <w:rsid w:val="00AE30E8"/>
    <w:rsid w:val="00AE3516"/>
    <w:rsid w:val="00AF39E1"/>
    <w:rsid w:val="00AF5158"/>
    <w:rsid w:val="00AF6B18"/>
    <w:rsid w:val="00AF7185"/>
    <w:rsid w:val="00B022D1"/>
    <w:rsid w:val="00B10934"/>
    <w:rsid w:val="00B13EFC"/>
    <w:rsid w:val="00B14A36"/>
    <w:rsid w:val="00B21E21"/>
    <w:rsid w:val="00B256CE"/>
    <w:rsid w:val="00B26BC0"/>
    <w:rsid w:val="00B32003"/>
    <w:rsid w:val="00B34975"/>
    <w:rsid w:val="00B46830"/>
    <w:rsid w:val="00B4709F"/>
    <w:rsid w:val="00B53C72"/>
    <w:rsid w:val="00B5421D"/>
    <w:rsid w:val="00B5544E"/>
    <w:rsid w:val="00B6431F"/>
    <w:rsid w:val="00B7344B"/>
    <w:rsid w:val="00B74C9C"/>
    <w:rsid w:val="00B84AA5"/>
    <w:rsid w:val="00B92024"/>
    <w:rsid w:val="00B94AE9"/>
    <w:rsid w:val="00B956A8"/>
    <w:rsid w:val="00BA2268"/>
    <w:rsid w:val="00BA458F"/>
    <w:rsid w:val="00BA4FD0"/>
    <w:rsid w:val="00BB3750"/>
    <w:rsid w:val="00BB44F8"/>
    <w:rsid w:val="00BB6372"/>
    <w:rsid w:val="00BB676D"/>
    <w:rsid w:val="00BC343F"/>
    <w:rsid w:val="00BC47AE"/>
    <w:rsid w:val="00BD0BAC"/>
    <w:rsid w:val="00BD398C"/>
    <w:rsid w:val="00BD4DE7"/>
    <w:rsid w:val="00BD5893"/>
    <w:rsid w:val="00BD6C75"/>
    <w:rsid w:val="00BE5A59"/>
    <w:rsid w:val="00BE690E"/>
    <w:rsid w:val="00BF1FF1"/>
    <w:rsid w:val="00BF52B3"/>
    <w:rsid w:val="00BF582D"/>
    <w:rsid w:val="00BF5DB3"/>
    <w:rsid w:val="00C01777"/>
    <w:rsid w:val="00C01F2E"/>
    <w:rsid w:val="00C070F6"/>
    <w:rsid w:val="00C1390D"/>
    <w:rsid w:val="00C151BF"/>
    <w:rsid w:val="00C17D0E"/>
    <w:rsid w:val="00C25D68"/>
    <w:rsid w:val="00C30E99"/>
    <w:rsid w:val="00C3288D"/>
    <w:rsid w:val="00C400D4"/>
    <w:rsid w:val="00C43D67"/>
    <w:rsid w:val="00C609AA"/>
    <w:rsid w:val="00C63A43"/>
    <w:rsid w:val="00C6537F"/>
    <w:rsid w:val="00C662D7"/>
    <w:rsid w:val="00C758FA"/>
    <w:rsid w:val="00C8744B"/>
    <w:rsid w:val="00C95DD0"/>
    <w:rsid w:val="00CA1EDC"/>
    <w:rsid w:val="00CA7C33"/>
    <w:rsid w:val="00CA7D73"/>
    <w:rsid w:val="00CB0157"/>
    <w:rsid w:val="00CB08EF"/>
    <w:rsid w:val="00CC36F1"/>
    <w:rsid w:val="00CD257B"/>
    <w:rsid w:val="00CD7D8B"/>
    <w:rsid w:val="00CF136E"/>
    <w:rsid w:val="00CF68C6"/>
    <w:rsid w:val="00D011CF"/>
    <w:rsid w:val="00D02DA2"/>
    <w:rsid w:val="00D25FB7"/>
    <w:rsid w:val="00D30974"/>
    <w:rsid w:val="00D316A7"/>
    <w:rsid w:val="00D31D50"/>
    <w:rsid w:val="00D412D4"/>
    <w:rsid w:val="00D4330F"/>
    <w:rsid w:val="00D46AA6"/>
    <w:rsid w:val="00D5160B"/>
    <w:rsid w:val="00D532A2"/>
    <w:rsid w:val="00D5455F"/>
    <w:rsid w:val="00D553C4"/>
    <w:rsid w:val="00D5687D"/>
    <w:rsid w:val="00D65895"/>
    <w:rsid w:val="00D66855"/>
    <w:rsid w:val="00D67A6E"/>
    <w:rsid w:val="00D72CFE"/>
    <w:rsid w:val="00D7685D"/>
    <w:rsid w:val="00D8132C"/>
    <w:rsid w:val="00D8164E"/>
    <w:rsid w:val="00D8544F"/>
    <w:rsid w:val="00D860DA"/>
    <w:rsid w:val="00D862B6"/>
    <w:rsid w:val="00D87BA3"/>
    <w:rsid w:val="00D927AB"/>
    <w:rsid w:val="00D95172"/>
    <w:rsid w:val="00DA76CA"/>
    <w:rsid w:val="00DB417D"/>
    <w:rsid w:val="00DC076E"/>
    <w:rsid w:val="00DC3CF1"/>
    <w:rsid w:val="00DC519C"/>
    <w:rsid w:val="00DD086E"/>
    <w:rsid w:val="00DF0D80"/>
    <w:rsid w:val="00E2391D"/>
    <w:rsid w:val="00E27C2F"/>
    <w:rsid w:val="00E350A8"/>
    <w:rsid w:val="00E35EB3"/>
    <w:rsid w:val="00E37355"/>
    <w:rsid w:val="00E44923"/>
    <w:rsid w:val="00E46369"/>
    <w:rsid w:val="00E4780D"/>
    <w:rsid w:val="00E47B13"/>
    <w:rsid w:val="00E47D2A"/>
    <w:rsid w:val="00E47FFA"/>
    <w:rsid w:val="00E6164E"/>
    <w:rsid w:val="00E62731"/>
    <w:rsid w:val="00E672FF"/>
    <w:rsid w:val="00E7068B"/>
    <w:rsid w:val="00E73B77"/>
    <w:rsid w:val="00E80205"/>
    <w:rsid w:val="00E834AF"/>
    <w:rsid w:val="00E84F84"/>
    <w:rsid w:val="00E93776"/>
    <w:rsid w:val="00E954E3"/>
    <w:rsid w:val="00EA541A"/>
    <w:rsid w:val="00EA5426"/>
    <w:rsid w:val="00EA604B"/>
    <w:rsid w:val="00EA7C1F"/>
    <w:rsid w:val="00EB09B7"/>
    <w:rsid w:val="00EB2E84"/>
    <w:rsid w:val="00EB30B2"/>
    <w:rsid w:val="00EB5DC0"/>
    <w:rsid w:val="00EB6598"/>
    <w:rsid w:val="00EC62D6"/>
    <w:rsid w:val="00EC78C3"/>
    <w:rsid w:val="00ED4C80"/>
    <w:rsid w:val="00ED6B15"/>
    <w:rsid w:val="00ED7B53"/>
    <w:rsid w:val="00EE4E1F"/>
    <w:rsid w:val="00EE6F2B"/>
    <w:rsid w:val="00EF77E3"/>
    <w:rsid w:val="00F040F3"/>
    <w:rsid w:val="00F07455"/>
    <w:rsid w:val="00F154C0"/>
    <w:rsid w:val="00F24614"/>
    <w:rsid w:val="00F2704B"/>
    <w:rsid w:val="00F27949"/>
    <w:rsid w:val="00F32B16"/>
    <w:rsid w:val="00F37086"/>
    <w:rsid w:val="00F37E38"/>
    <w:rsid w:val="00F45564"/>
    <w:rsid w:val="00F45E16"/>
    <w:rsid w:val="00F53F19"/>
    <w:rsid w:val="00F54045"/>
    <w:rsid w:val="00F544CB"/>
    <w:rsid w:val="00F63E66"/>
    <w:rsid w:val="00F80AD3"/>
    <w:rsid w:val="00F85AEE"/>
    <w:rsid w:val="00F95680"/>
    <w:rsid w:val="00F95831"/>
    <w:rsid w:val="00F95EFD"/>
    <w:rsid w:val="00FA1882"/>
    <w:rsid w:val="00FA4624"/>
    <w:rsid w:val="00FA4EA5"/>
    <w:rsid w:val="00FA5731"/>
    <w:rsid w:val="00FB1EFA"/>
    <w:rsid w:val="00FB1FBB"/>
    <w:rsid w:val="00FB7BE0"/>
    <w:rsid w:val="00FB7C69"/>
    <w:rsid w:val="00FB7DF9"/>
    <w:rsid w:val="00FC4900"/>
    <w:rsid w:val="00FC4CE0"/>
    <w:rsid w:val="00FE365A"/>
    <w:rsid w:val="00FF04E4"/>
    <w:rsid w:val="00FF2A1C"/>
    <w:rsid w:val="00FF3682"/>
    <w:rsid w:val="01F52ACA"/>
    <w:rsid w:val="028817A1"/>
    <w:rsid w:val="03877800"/>
    <w:rsid w:val="039444D7"/>
    <w:rsid w:val="04C0227A"/>
    <w:rsid w:val="050F16AF"/>
    <w:rsid w:val="058F4A4A"/>
    <w:rsid w:val="05F06B7A"/>
    <w:rsid w:val="062A3132"/>
    <w:rsid w:val="06A40DE9"/>
    <w:rsid w:val="06B40E1E"/>
    <w:rsid w:val="06DC6EB0"/>
    <w:rsid w:val="070C1160"/>
    <w:rsid w:val="080138FA"/>
    <w:rsid w:val="082108F1"/>
    <w:rsid w:val="08AA4FBD"/>
    <w:rsid w:val="08C700A5"/>
    <w:rsid w:val="092E5B43"/>
    <w:rsid w:val="09474CFA"/>
    <w:rsid w:val="097A1598"/>
    <w:rsid w:val="0AE66395"/>
    <w:rsid w:val="0B2C5F03"/>
    <w:rsid w:val="0BEF406A"/>
    <w:rsid w:val="0C00589E"/>
    <w:rsid w:val="0CB76005"/>
    <w:rsid w:val="0E0D3E12"/>
    <w:rsid w:val="0E746FC2"/>
    <w:rsid w:val="0EA94068"/>
    <w:rsid w:val="0EDF6BB4"/>
    <w:rsid w:val="0EF87C52"/>
    <w:rsid w:val="0F6B4A95"/>
    <w:rsid w:val="0FA7212E"/>
    <w:rsid w:val="1020312F"/>
    <w:rsid w:val="106D0AC4"/>
    <w:rsid w:val="13360D11"/>
    <w:rsid w:val="142F09D4"/>
    <w:rsid w:val="145C538A"/>
    <w:rsid w:val="14D17664"/>
    <w:rsid w:val="14EC5320"/>
    <w:rsid w:val="1576200F"/>
    <w:rsid w:val="15FD587B"/>
    <w:rsid w:val="16382F4E"/>
    <w:rsid w:val="167963FE"/>
    <w:rsid w:val="16FB4441"/>
    <w:rsid w:val="175271D7"/>
    <w:rsid w:val="17577449"/>
    <w:rsid w:val="17AB2CE2"/>
    <w:rsid w:val="187A1902"/>
    <w:rsid w:val="18843E3F"/>
    <w:rsid w:val="19464B2E"/>
    <w:rsid w:val="195C5947"/>
    <w:rsid w:val="19C41326"/>
    <w:rsid w:val="19E43E7C"/>
    <w:rsid w:val="1A2D6B40"/>
    <w:rsid w:val="1AEE44E0"/>
    <w:rsid w:val="1B475EBA"/>
    <w:rsid w:val="1BAC363C"/>
    <w:rsid w:val="1C5F5EA3"/>
    <w:rsid w:val="1CC60395"/>
    <w:rsid w:val="1D794E45"/>
    <w:rsid w:val="1D8742C9"/>
    <w:rsid w:val="2073070D"/>
    <w:rsid w:val="20EB1A8B"/>
    <w:rsid w:val="214F03B6"/>
    <w:rsid w:val="21BD5715"/>
    <w:rsid w:val="21C13A9E"/>
    <w:rsid w:val="22D71C60"/>
    <w:rsid w:val="23B81BFC"/>
    <w:rsid w:val="23B87D45"/>
    <w:rsid w:val="23CE650A"/>
    <w:rsid w:val="250440BC"/>
    <w:rsid w:val="255035DF"/>
    <w:rsid w:val="25754019"/>
    <w:rsid w:val="25B22185"/>
    <w:rsid w:val="25C96E0D"/>
    <w:rsid w:val="26AF7565"/>
    <w:rsid w:val="27BB49CC"/>
    <w:rsid w:val="280965BF"/>
    <w:rsid w:val="28CF1C92"/>
    <w:rsid w:val="28D56F0D"/>
    <w:rsid w:val="28E40756"/>
    <w:rsid w:val="29292ACE"/>
    <w:rsid w:val="29CB7263"/>
    <w:rsid w:val="29D15A31"/>
    <w:rsid w:val="29DC45D9"/>
    <w:rsid w:val="2BA106C8"/>
    <w:rsid w:val="2CCF32B2"/>
    <w:rsid w:val="2D624D64"/>
    <w:rsid w:val="2DDA53FB"/>
    <w:rsid w:val="2F493C70"/>
    <w:rsid w:val="2FE80711"/>
    <w:rsid w:val="3056666B"/>
    <w:rsid w:val="305D20B8"/>
    <w:rsid w:val="31E73E0A"/>
    <w:rsid w:val="31F227F9"/>
    <w:rsid w:val="3283548A"/>
    <w:rsid w:val="33D426F5"/>
    <w:rsid w:val="341A51A3"/>
    <w:rsid w:val="342351BC"/>
    <w:rsid w:val="353661A2"/>
    <w:rsid w:val="3660307A"/>
    <w:rsid w:val="36C305A2"/>
    <w:rsid w:val="37806028"/>
    <w:rsid w:val="37CA2F18"/>
    <w:rsid w:val="38382662"/>
    <w:rsid w:val="389A69EB"/>
    <w:rsid w:val="38F92413"/>
    <w:rsid w:val="3932495F"/>
    <w:rsid w:val="39AC66F4"/>
    <w:rsid w:val="3B450746"/>
    <w:rsid w:val="3B70538B"/>
    <w:rsid w:val="3B8B45DE"/>
    <w:rsid w:val="3CE039F9"/>
    <w:rsid w:val="3D7E73A2"/>
    <w:rsid w:val="3EDB5B90"/>
    <w:rsid w:val="3F2B4609"/>
    <w:rsid w:val="3F45639D"/>
    <w:rsid w:val="41CD4EF8"/>
    <w:rsid w:val="41CE6B33"/>
    <w:rsid w:val="42F16958"/>
    <w:rsid w:val="43910D89"/>
    <w:rsid w:val="44005116"/>
    <w:rsid w:val="449A3135"/>
    <w:rsid w:val="449C7A28"/>
    <w:rsid w:val="449E6811"/>
    <w:rsid w:val="451E3F5A"/>
    <w:rsid w:val="45410255"/>
    <w:rsid w:val="46834862"/>
    <w:rsid w:val="46FB2771"/>
    <w:rsid w:val="47496025"/>
    <w:rsid w:val="47C32283"/>
    <w:rsid w:val="47CA333A"/>
    <w:rsid w:val="48320829"/>
    <w:rsid w:val="49206389"/>
    <w:rsid w:val="49206F8C"/>
    <w:rsid w:val="49623771"/>
    <w:rsid w:val="4DF30682"/>
    <w:rsid w:val="4F440CC1"/>
    <w:rsid w:val="4FED2A03"/>
    <w:rsid w:val="50D65987"/>
    <w:rsid w:val="52C553E8"/>
    <w:rsid w:val="52EA5511"/>
    <w:rsid w:val="536746F2"/>
    <w:rsid w:val="53BF0B15"/>
    <w:rsid w:val="542F3AD8"/>
    <w:rsid w:val="554E38E7"/>
    <w:rsid w:val="56903063"/>
    <w:rsid w:val="56F54129"/>
    <w:rsid w:val="571A7928"/>
    <w:rsid w:val="57C12138"/>
    <w:rsid w:val="587A1377"/>
    <w:rsid w:val="58821711"/>
    <w:rsid w:val="588946EC"/>
    <w:rsid w:val="58B8609F"/>
    <w:rsid w:val="58C9309A"/>
    <w:rsid w:val="59503FE7"/>
    <w:rsid w:val="59E13E90"/>
    <w:rsid w:val="5A00456A"/>
    <w:rsid w:val="5A3F7E1A"/>
    <w:rsid w:val="5A5133FF"/>
    <w:rsid w:val="5AEE580C"/>
    <w:rsid w:val="5B9B208E"/>
    <w:rsid w:val="5BBF278A"/>
    <w:rsid w:val="5C720E3A"/>
    <w:rsid w:val="5D734A44"/>
    <w:rsid w:val="5E560D2E"/>
    <w:rsid w:val="5F6C5B2E"/>
    <w:rsid w:val="605F4C26"/>
    <w:rsid w:val="60F16425"/>
    <w:rsid w:val="61091151"/>
    <w:rsid w:val="612721ED"/>
    <w:rsid w:val="61361787"/>
    <w:rsid w:val="61931AFF"/>
    <w:rsid w:val="61CE3AA2"/>
    <w:rsid w:val="61DB3B1D"/>
    <w:rsid w:val="62155816"/>
    <w:rsid w:val="630B0C35"/>
    <w:rsid w:val="642460B6"/>
    <w:rsid w:val="6504319D"/>
    <w:rsid w:val="67581432"/>
    <w:rsid w:val="676F59BF"/>
    <w:rsid w:val="67F91818"/>
    <w:rsid w:val="68161DAD"/>
    <w:rsid w:val="684D1363"/>
    <w:rsid w:val="6A977CBC"/>
    <w:rsid w:val="6AB13EA0"/>
    <w:rsid w:val="6B7C7ABB"/>
    <w:rsid w:val="6C171F0F"/>
    <w:rsid w:val="6C2F14F5"/>
    <w:rsid w:val="6C3D2AD8"/>
    <w:rsid w:val="6C7D18EF"/>
    <w:rsid w:val="6CD2326A"/>
    <w:rsid w:val="6F752E8E"/>
    <w:rsid w:val="70710506"/>
    <w:rsid w:val="709A7575"/>
    <w:rsid w:val="71ED62B3"/>
    <w:rsid w:val="71F333E1"/>
    <w:rsid w:val="72220D36"/>
    <w:rsid w:val="722E18C0"/>
    <w:rsid w:val="72576098"/>
    <w:rsid w:val="727B2DD0"/>
    <w:rsid w:val="72B9146A"/>
    <w:rsid w:val="737D62DD"/>
    <w:rsid w:val="755437AE"/>
    <w:rsid w:val="763937AD"/>
    <w:rsid w:val="7749295C"/>
    <w:rsid w:val="79550EFA"/>
    <w:rsid w:val="7BE14C47"/>
    <w:rsid w:val="7C5B2412"/>
    <w:rsid w:val="7C9B4E5A"/>
    <w:rsid w:val="7D5052A6"/>
    <w:rsid w:val="7D543E9B"/>
    <w:rsid w:val="7DAC414D"/>
    <w:rsid w:val="7E094583"/>
    <w:rsid w:val="7E1016F9"/>
    <w:rsid w:val="7E753073"/>
    <w:rsid w:val="7EA2332E"/>
    <w:rsid w:val="7EDD15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黑体"/>
      <w:sz w:val="22"/>
      <w:szCs w:val="22"/>
      <w:lang w:val="en-US" w:eastAsia="zh-CN" w:bidi="ar-SA"/>
    </w:rPr>
  </w:style>
  <w:style w:type="paragraph" w:styleId="2">
    <w:name w:val="heading 1"/>
    <w:basedOn w:val="1"/>
    <w:next w:val="1"/>
    <w:link w:val="15"/>
    <w:qFormat/>
    <w:uiPriority w:val="9"/>
    <w:pPr>
      <w:adjustRightInd/>
      <w:snapToGrid/>
      <w:spacing w:before="100" w:beforeAutospacing="1" w:after="100" w:afterAutospacing="1"/>
      <w:outlineLvl w:val="0"/>
    </w:pPr>
    <w:rPr>
      <w:rFonts w:ascii="宋体" w:hAnsi="宋体" w:eastAsia="宋体" w:cs="宋体"/>
      <w:b/>
      <w:bCs/>
      <w:kern w:val="36"/>
      <w:sz w:val="48"/>
      <w:szCs w:val="48"/>
    </w:rPr>
  </w:style>
  <w:style w:type="paragraph" w:styleId="3">
    <w:name w:val="heading 2"/>
    <w:basedOn w:val="1"/>
    <w:next w:val="1"/>
    <w:link w:val="16"/>
    <w:unhideWhenUsed/>
    <w:qFormat/>
    <w:uiPriority w:val="9"/>
    <w:pPr>
      <w:keepNext/>
      <w:keepLines/>
      <w:spacing w:before="260" w:after="260" w:line="416" w:lineRule="auto"/>
      <w:outlineLvl w:val="1"/>
    </w:pPr>
    <w:rPr>
      <w:rFonts w:ascii="Cambria" w:hAnsi="Cambria" w:eastAsia="宋体"/>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Indent"/>
    <w:basedOn w:val="1"/>
    <w:link w:val="18"/>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5">
    <w:name w:val="Plain Text"/>
    <w:basedOn w:val="1"/>
    <w:link w:val="19"/>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6">
    <w:name w:val="Body Text Indent 2"/>
    <w:basedOn w:val="1"/>
    <w:link w:val="17"/>
    <w:unhideWhenUsed/>
    <w:qFormat/>
    <w:uiPriority w:val="99"/>
    <w:pPr>
      <w:adjustRightInd/>
      <w:snapToGrid/>
      <w:spacing w:before="100" w:beforeAutospacing="1" w:after="100" w:afterAutospacing="1"/>
    </w:pPr>
    <w:rPr>
      <w:rFonts w:ascii="宋体" w:hAnsi="宋体" w:eastAsia="宋体" w:cs="宋体"/>
      <w:sz w:val="24"/>
      <w:szCs w:val="24"/>
    </w:rPr>
  </w:style>
  <w:style w:type="paragraph" w:styleId="7">
    <w:name w:val="Balloon Text"/>
    <w:basedOn w:val="1"/>
    <w:link w:val="23"/>
    <w:semiHidden/>
    <w:unhideWhenUsed/>
    <w:qFormat/>
    <w:uiPriority w:val="99"/>
    <w:pPr>
      <w:spacing w:after="0"/>
    </w:pPr>
    <w:rPr>
      <w:sz w:val="18"/>
      <w:szCs w:val="18"/>
    </w:rPr>
  </w:style>
  <w:style w:type="paragraph" w:styleId="8">
    <w:name w:val="footer"/>
    <w:basedOn w:val="1"/>
    <w:link w:val="22"/>
    <w:unhideWhenUsed/>
    <w:qFormat/>
    <w:uiPriority w:val="99"/>
    <w:pPr>
      <w:tabs>
        <w:tab w:val="center" w:pos="4153"/>
        <w:tab w:val="right" w:pos="8306"/>
      </w:tabs>
    </w:pPr>
    <w:rPr>
      <w:sz w:val="18"/>
      <w:szCs w:val="18"/>
    </w:rPr>
  </w:style>
  <w:style w:type="paragraph" w:styleId="9">
    <w:name w:val="header"/>
    <w:basedOn w:val="1"/>
    <w:link w:val="21"/>
    <w:unhideWhenUsed/>
    <w:qFormat/>
    <w:uiPriority w:val="99"/>
    <w:pPr>
      <w:pBdr>
        <w:bottom w:val="single" w:color="auto" w:sz="6" w:space="1"/>
      </w:pBdr>
      <w:tabs>
        <w:tab w:val="center" w:pos="4153"/>
        <w:tab w:val="right" w:pos="8306"/>
      </w:tabs>
      <w:jc w:val="center"/>
    </w:pPr>
    <w:rPr>
      <w:sz w:val="18"/>
      <w:szCs w:val="18"/>
    </w:rPr>
  </w:style>
  <w:style w:type="paragraph" w:styleId="10">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12">
    <w:name w:val="Table Grid"/>
    <w:basedOn w:val="11"/>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4">
    <w:name w:val="Strong"/>
    <w:basedOn w:val="13"/>
    <w:qFormat/>
    <w:uiPriority w:val="22"/>
    <w:rPr>
      <w:b/>
      <w:bCs/>
    </w:rPr>
  </w:style>
  <w:style w:type="character" w:customStyle="1" w:styleId="15">
    <w:name w:val="标题 1 Char"/>
    <w:basedOn w:val="13"/>
    <w:link w:val="2"/>
    <w:qFormat/>
    <w:uiPriority w:val="9"/>
    <w:rPr>
      <w:rFonts w:ascii="宋体" w:hAnsi="宋体" w:eastAsia="宋体" w:cs="宋体"/>
      <w:b/>
      <w:bCs/>
      <w:kern w:val="36"/>
      <w:sz w:val="48"/>
      <w:szCs w:val="48"/>
    </w:rPr>
  </w:style>
  <w:style w:type="character" w:customStyle="1" w:styleId="16">
    <w:name w:val="标题 2 Char"/>
    <w:basedOn w:val="13"/>
    <w:link w:val="3"/>
    <w:qFormat/>
    <w:uiPriority w:val="9"/>
    <w:rPr>
      <w:rFonts w:ascii="Cambria" w:hAnsi="Cambria" w:eastAsia="宋体" w:cs="黑体"/>
      <w:b/>
      <w:bCs/>
      <w:sz w:val="32"/>
      <w:szCs w:val="32"/>
    </w:rPr>
  </w:style>
  <w:style w:type="character" w:customStyle="1" w:styleId="17">
    <w:name w:val="正文文本缩进 2 Char"/>
    <w:basedOn w:val="13"/>
    <w:link w:val="6"/>
    <w:semiHidden/>
    <w:qFormat/>
    <w:uiPriority w:val="99"/>
    <w:rPr>
      <w:rFonts w:ascii="宋体" w:hAnsi="宋体" w:eastAsia="宋体" w:cs="宋体"/>
      <w:sz w:val="24"/>
      <w:szCs w:val="24"/>
    </w:rPr>
  </w:style>
  <w:style w:type="character" w:customStyle="1" w:styleId="18">
    <w:name w:val="正文文本缩进 Char"/>
    <w:basedOn w:val="13"/>
    <w:link w:val="4"/>
    <w:semiHidden/>
    <w:qFormat/>
    <w:uiPriority w:val="99"/>
    <w:rPr>
      <w:rFonts w:ascii="宋体" w:hAnsi="宋体" w:eastAsia="宋体" w:cs="宋体"/>
      <w:sz w:val="24"/>
      <w:szCs w:val="24"/>
    </w:rPr>
  </w:style>
  <w:style w:type="character" w:customStyle="1" w:styleId="19">
    <w:name w:val="纯文本 Char"/>
    <w:basedOn w:val="13"/>
    <w:link w:val="5"/>
    <w:qFormat/>
    <w:uiPriority w:val="99"/>
    <w:rPr>
      <w:rFonts w:ascii="宋体" w:hAnsi="宋体" w:eastAsia="宋体" w:cs="宋体"/>
      <w:sz w:val="24"/>
      <w:szCs w:val="24"/>
    </w:rPr>
  </w:style>
  <w:style w:type="character" w:customStyle="1" w:styleId="20">
    <w:name w:val="apple-converted-space"/>
    <w:basedOn w:val="13"/>
    <w:qFormat/>
    <w:uiPriority w:val="0"/>
  </w:style>
  <w:style w:type="character" w:customStyle="1" w:styleId="21">
    <w:name w:val="页眉 Char"/>
    <w:basedOn w:val="13"/>
    <w:link w:val="9"/>
    <w:semiHidden/>
    <w:qFormat/>
    <w:uiPriority w:val="99"/>
    <w:rPr>
      <w:rFonts w:ascii="Tahoma" w:hAnsi="Tahoma"/>
      <w:sz w:val="18"/>
      <w:szCs w:val="18"/>
    </w:rPr>
  </w:style>
  <w:style w:type="character" w:customStyle="1" w:styleId="22">
    <w:name w:val="页脚 Char"/>
    <w:basedOn w:val="13"/>
    <w:link w:val="8"/>
    <w:qFormat/>
    <w:uiPriority w:val="99"/>
    <w:rPr>
      <w:rFonts w:ascii="Tahoma" w:hAnsi="Tahoma"/>
      <w:sz w:val="18"/>
      <w:szCs w:val="18"/>
    </w:rPr>
  </w:style>
  <w:style w:type="character" w:customStyle="1" w:styleId="23">
    <w:name w:val="批注框文本 Char"/>
    <w:basedOn w:val="13"/>
    <w:link w:val="7"/>
    <w:semiHidden/>
    <w:qFormat/>
    <w:uiPriority w:val="99"/>
    <w:rPr>
      <w:rFonts w:ascii="Tahoma" w:hAnsi="Tahoma"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2731</Words>
  <Characters>15572</Characters>
  <Lines>129</Lines>
  <Paragraphs>36</Paragraphs>
  <TotalTime>326</TotalTime>
  <ScaleCrop>false</ScaleCrop>
  <LinksUpToDate>false</LinksUpToDate>
  <CharactersWithSpaces>18267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Lenovo</dc:creator>
  <cp:lastModifiedBy>陈龑</cp:lastModifiedBy>
  <cp:lastPrinted>2026-05-13T07:28:00Z</cp:lastPrinted>
  <dcterms:modified xsi:type="dcterms:W3CDTF">2026-06-22T02:42:26Z</dcterms:modified>
  <dc:title>临猗新田村镇银行股份有限公司</dc:title>
  <cp:revision>535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B8C4A54255C9479391F24851A9701773_13</vt:lpwstr>
  </property>
  <property fmtid="{D5CDD505-2E9C-101B-9397-08002B2CF9AE}" pid="4" name="KSOTemplateDocerSaveRecord">
    <vt:lpwstr>eyJoZGlkIjoiYmI3Nzc4MjI5YjhlYTc4Mjg2ODZmNmY1YTQ0NzRjNWYiLCJ1c2VySWQiOiI0ODY4OTA2OTkifQ==</vt:lpwstr>
  </property>
</Properties>
</file>