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1D" w:rsidRDefault="00BF1FF1">
      <w:pPr>
        <w:pStyle w:val="a8"/>
        <w:spacing w:before="0" w:beforeAutospacing="0" w:after="0" w:afterAutospacing="0" w:line="600" w:lineRule="exact"/>
        <w:ind w:firstLineChars="200" w:firstLine="723"/>
        <w:jc w:val="center"/>
        <w:rPr>
          <w:rFonts w:ascii="微软雅黑" w:eastAsia="微软雅黑" w:hAnsi="微软雅黑"/>
          <w:sz w:val="15"/>
          <w:szCs w:val="15"/>
        </w:rPr>
      </w:pPr>
      <w:r>
        <w:rPr>
          <w:rStyle w:val="a9"/>
          <w:rFonts w:cs="Times New Roman" w:hint="eastAsia"/>
          <w:sz w:val="36"/>
          <w:szCs w:val="36"/>
        </w:rPr>
        <w:t>临猗县新田村镇银行股份有限公司</w:t>
      </w:r>
    </w:p>
    <w:p w:rsidR="00B5421D" w:rsidRDefault="00BF1FF1">
      <w:pPr>
        <w:pStyle w:val="a8"/>
        <w:spacing w:before="0" w:beforeAutospacing="0" w:after="0" w:afterAutospacing="0" w:line="600" w:lineRule="exact"/>
        <w:ind w:firstLineChars="200" w:firstLine="723"/>
        <w:jc w:val="center"/>
        <w:rPr>
          <w:rFonts w:ascii="微软雅黑" w:eastAsia="微软雅黑" w:hAnsi="微软雅黑"/>
          <w:sz w:val="15"/>
          <w:szCs w:val="15"/>
        </w:rPr>
      </w:pPr>
      <w:r>
        <w:rPr>
          <w:rStyle w:val="a9"/>
          <w:rFonts w:cs="Times New Roman" w:hint="eastAsia"/>
          <w:sz w:val="36"/>
          <w:szCs w:val="36"/>
        </w:rPr>
        <w:t>2024年度信息披露报告</w:t>
      </w:r>
    </w:p>
    <w:p w:rsidR="00B5421D" w:rsidRDefault="00BF1FF1">
      <w:pPr>
        <w:pStyle w:val="a8"/>
        <w:spacing w:before="0" w:beforeAutospacing="0" w:after="0" w:afterAutospacing="0" w:line="600" w:lineRule="exact"/>
        <w:ind w:firstLineChars="200" w:firstLine="300"/>
        <w:jc w:val="center"/>
        <w:rPr>
          <w:rFonts w:ascii="微软雅黑" w:eastAsia="微软雅黑" w:hAnsi="微软雅黑"/>
          <w:sz w:val="15"/>
          <w:szCs w:val="15"/>
        </w:rPr>
      </w:pPr>
      <w:r>
        <w:rPr>
          <w:rFonts w:ascii="微软雅黑" w:eastAsia="微软雅黑" w:hAnsi="微软雅黑" w:hint="eastAsia"/>
          <w:sz w:val="15"/>
          <w:szCs w:val="15"/>
        </w:rPr>
        <w:t> </w:t>
      </w:r>
    </w:p>
    <w:p w:rsidR="00B5421D" w:rsidRDefault="00BF1FF1">
      <w:pPr>
        <w:pStyle w:val="a8"/>
        <w:spacing w:before="0" w:beforeAutospacing="0" w:after="0" w:afterAutospacing="0" w:line="600" w:lineRule="exact"/>
        <w:ind w:firstLineChars="200" w:firstLine="300"/>
        <w:jc w:val="center"/>
        <w:rPr>
          <w:rFonts w:ascii="微软雅黑" w:eastAsia="微软雅黑" w:hAnsi="微软雅黑"/>
          <w:sz w:val="15"/>
          <w:szCs w:val="15"/>
        </w:rPr>
      </w:pPr>
      <w:r>
        <w:rPr>
          <w:rFonts w:ascii="微软雅黑" w:eastAsia="微软雅黑" w:hAnsi="微软雅黑" w:hint="eastAsia"/>
          <w:sz w:val="15"/>
          <w:szCs w:val="15"/>
        </w:rPr>
        <w:t> </w:t>
      </w:r>
    </w:p>
    <w:p w:rsidR="00B5421D" w:rsidRDefault="00BF1FF1">
      <w:pPr>
        <w:pStyle w:val="a8"/>
        <w:spacing w:before="0" w:beforeAutospacing="0" w:after="0" w:afterAutospacing="0" w:line="600" w:lineRule="exact"/>
        <w:ind w:firstLineChars="200" w:firstLine="602"/>
        <w:jc w:val="center"/>
        <w:rPr>
          <w:rFonts w:ascii="微软雅黑" w:eastAsia="微软雅黑" w:hAnsi="微软雅黑"/>
          <w:sz w:val="15"/>
          <w:szCs w:val="15"/>
        </w:rPr>
      </w:pPr>
      <w:r>
        <w:rPr>
          <w:rStyle w:val="a9"/>
          <w:rFonts w:cs="Times New Roman" w:hint="eastAsia"/>
          <w:sz w:val="30"/>
          <w:szCs w:val="30"/>
        </w:rPr>
        <w:t>重要提示</w:t>
      </w:r>
    </w:p>
    <w:p w:rsidR="00B5421D" w:rsidRDefault="00BF1FF1">
      <w:pPr>
        <w:pStyle w:val="a8"/>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微软雅黑" w:hint="eastAsia"/>
          <w:sz w:val="30"/>
          <w:szCs w:val="30"/>
        </w:rPr>
        <w:t> </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本行董事会、监事会及董事、监事、高级管理人员保证本报告所载资料不存在任何虚假记载、误导性陈述或者重大遗漏，并对其内容的真实性、准确性和完整性承担个别及连带责任。</w:t>
      </w:r>
    </w:p>
    <w:p w:rsidR="00B5421D" w:rsidRPr="002C7992" w:rsidRDefault="00BF1FF1" w:rsidP="002C7992">
      <w:pPr>
        <w:pStyle w:val="a8"/>
        <w:spacing w:before="0" w:beforeAutospacing="0" w:after="0" w:afterAutospacing="0" w:line="600" w:lineRule="exact"/>
        <w:ind w:firstLineChars="200" w:firstLine="600"/>
        <w:jc w:val="both"/>
        <w:rPr>
          <w:rFonts w:ascii="仿宋" w:eastAsia="仿宋" w:hAnsi="仿宋" w:cs="Times New Roman"/>
          <w:sz w:val="30"/>
          <w:szCs w:val="30"/>
        </w:rPr>
      </w:pPr>
      <w:r w:rsidRPr="002C7992">
        <w:rPr>
          <w:rFonts w:ascii="仿宋" w:eastAsia="仿宋" w:hAnsi="仿宋" w:cs="Times New Roman" w:hint="eastAsia"/>
          <w:sz w:val="30"/>
          <w:szCs w:val="30"/>
        </w:rPr>
        <w:t>本行202</w:t>
      </w:r>
      <w:r w:rsidR="00E84F84" w:rsidRPr="002C7992">
        <w:rPr>
          <w:rFonts w:ascii="仿宋" w:eastAsia="仿宋" w:hAnsi="仿宋" w:cs="Times New Roman" w:hint="eastAsia"/>
          <w:sz w:val="30"/>
          <w:szCs w:val="30"/>
        </w:rPr>
        <w:t>4</w:t>
      </w:r>
      <w:r w:rsidRPr="002C7992">
        <w:rPr>
          <w:rFonts w:ascii="仿宋" w:eastAsia="仿宋" w:hAnsi="仿宋" w:cs="Times New Roman" w:hint="eastAsia"/>
          <w:sz w:val="30"/>
          <w:szCs w:val="30"/>
        </w:rPr>
        <w:t>年度财务报告已经山西</w:t>
      </w:r>
      <w:r w:rsidR="00E84F84" w:rsidRPr="002C7992">
        <w:rPr>
          <w:rFonts w:ascii="仿宋" w:eastAsia="仿宋" w:hAnsi="仿宋" w:cs="Times New Roman" w:hint="eastAsia"/>
          <w:sz w:val="30"/>
          <w:szCs w:val="30"/>
        </w:rPr>
        <w:t>正裕</w:t>
      </w:r>
      <w:r w:rsidRPr="002C7992">
        <w:rPr>
          <w:rFonts w:ascii="仿宋" w:eastAsia="仿宋" w:hAnsi="仿宋" w:cs="Times New Roman" w:hint="eastAsia"/>
          <w:sz w:val="30"/>
          <w:szCs w:val="30"/>
        </w:rPr>
        <w:t>会计师事务所有限公司</w:t>
      </w:r>
      <w:r>
        <w:rPr>
          <w:rFonts w:ascii="仿宋" w:eastAsia="仿宋" w:hAnsi="仿宋" w:cs="Times New Roman" w:hint="eastAsia"/>
          <w:sz w:val="30"/>
          <w:szCs w:val="30"/>
        </w:rPr>
        <w:t>根据国内审计准则审计，并出具了标准无保留意见的审计报告。</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本行董事长范晓云、行长贾孟辉保证年度报告中财务报告的真实、完整。</w:t>
      </w:r>
    </w:p>
    <w:p w:rsidR="00B5421D" w:rsidRDefault="00B5421D">
      <w:pPr>
        <w:pStyle w:val="a8"/>
        <w:spacing w:before="0" w:beforeAutospacing="0" w:after="0" w:afterAutospacing="0" w:line="600" w:lineRule="exact"/>
        <w:ind w:firstLineChars="200" w:firstLine="600"/>
        <w:jc w:val="both"/>
        <w:rPr>
          <w:rFonts w:ascii="仿宋" w:eastAsia="仿宋" w:hAnsi="仿宋" w:cs="Times New Roman"/>
          <w:sz w:val="30"/>
          <w:szCs w:val="30"/>
        </w:rPr>
      </w:pPr>
    </w:p>
    <w:p w:rsidR="00B5421D" w:rsidRDefault="00BF1FF1">
      <w:pPr>
        <w:adjustRightInd/>
        <w:snapToGrid/>
        <w:spacing w:after="0" w:line="600" w:lineRule="exact"/>
        <w:ind w:firstLineChars="200" w:firstLine="602"/>
        <w:jc w:val="center"/>
        <w:outlineLvl w:val="0"/>
        <w:rPr>
          <w:rFonts w:ascii="仿宋" w:eastAsia="仿宋" w:hAnsi="仿宋" w:cs="宋体"/>
          <w:b/>
          <w:bCs/>
          <w:kern w:val="36"/>
          <w:sz w:val="30"/>
          <w:szCs w:val="30"/>
        </w:rPr>
      </w:pPr>
      <w:bookmarkStart w:id="0" w:name="_Toc481079990"/>
      <w:r>
        <w:rPr>
          <w:rFonts w:ascii="仿宋" w:eastAsia="仿宋" w:hAnsi="仿宋" w:cs="宋体" w:hint="eastAsia"/>
          <w:b/>
          <w:bCs/>
          <w:kern w:val="36"/>
          <w:sz w:val="30"/>
          <w:szCs w:val="30"/>
        </w:rPr>
        <w:t>第一章　本行概况</w:t>
      </w:r>
      <w:bookmarkEnd w:id="0"/>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微软雅黑" w:cs="宋体" w:hint="eastAsia"/>
          <w:sz w:val="30"/>
          <w:szCs w:val="30"/>
        </w:rPr>
        <w:t> </w:t>
      </w:r>
    </w:p>
    <w:p w:rsidR="00B5421D" w:rsidRDefault="00BF1FF1">
      <w:pPr>
        <w:adjustRightInd/>
        <w:snapToGrid/>
        <w:spacing w:after="0" w:line="600" w:lineRule="exact"/>
        <w:ind w:firstLineChars="200" w:firstLine="602"/>
        <w:jc w:val="both"/>
        <w:rPr>
          <w:rFonts w:ascii="仿宋" w:eastAsia="仿宋" w:hAnsi="仿宋" w:cs="宋体"/>
          <w:sz w:val="30"/>
          <w:szCs w:val="30"/>
        </w:rPr>
      </w:pPr>
      <w:r>
        <w:rPr>
          <w:rFonts w:ascii="仿宋" w:eastAsia="仿宋" w:hAnsi="仿宋" w:cs="Times New Roman" w:hint="eastAsia"/>
          <w:b/>
          <w:bCs/>
          <w:sz w:val="30"/>
          <w:szCs w:val="30"/>
        </w:rPr>
        <w:t>一、本行注册名称：临猗县新田村镇银行股份有限公司</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本行英文名称：LinYi County XinTian Village Bank Co</w:t>
      </w:r>
    </w:p>
    <w:p w:rsidR="00B5421D" w:rsidRDefault="00BF1FF1">
      <w:pPr>
        <w:adjustRightInd/>
        <w:snapToGrid/>
        <w:spacing w:after="0" w:line="600" w:lineRule="exact"/>
        <w:ind w:firstLineChars="200" w:firstLine="602"/>
        <w:jc w:val="both"/>
        <w:rPr>
          <w:rFonts w:ascii="仿宋" w:eastAsia="仿宋" w:hAnsi="仿宋" w:cs="宋体"/>
          <w:sz w:val="30"/>
          <w:szCs w:val="30"/>
        </w:rPr>
      </w:pPr>
      <w:r>
        <w:rPr>
          <w:rFonts w:ascii="仿宋" w:eastAsia="仿宋" w:hAnsi="仿宋" w:cs="Times New Roman" w:hint="eastAsia"/>
          <w:b/>
          <w:bCs/>
          <w:sz w:val="30"/>
          <w:szCs w:val="30"/>
        </w:rPr>
        <w:t>二、本法定代表人：</w:t>
      </w:r>
      <w:r>
        <w:rPr>
          <w:rFonts w:ascii="仿宋" w:eastAsia="仿宋" w:hAnsi="仿宋" w:cs="Times New Roman" w:hint="eastAsia"/>
          <w:sz w:val="30"/>
          <w:szCs w:val="30"/>
        </w:rPr>
        <w:t>范晓云</w:t>
      </w:r>
    </w:p>
    <w:p w:rsidR="00B5421D" w:rsidRDefault="00BF1FF1">
      <w:pPr>
        <w:adjustRightInd/>
        <w:snapToGrid/>
        <w:spacing w:after="0" w:line="600" w:lineRule="exact"/>
        <w:ind w:firstLineChars="200" w:firstLine="602"/>
        <w:jc w:val="both"/>
        <w:rPr>
          <w:rFonts w:ascii="仿宋" w:eastAsia="仿宋" w:hAnsi="仿宋" w:cs="宋体"/>
          <w:sz w:val="30"/>
          <w:szCs w:val="30"/>
        </w:rPr>
      </w:pPr>
      <w:r>
        <w:rPr>
          <w:rFonts w:ascii="仿宋" w:eastAsia="仿宋" w:hAnsi="仿宋" w:cs="Times New Roman" w:hint="eastAsia"/>
          <w:b/>
          <w:bCs/>
          <w:sz w:val="30"/>
          <w:szCs w:val="30"/>
        </w:rPr>
        <w:t>三、本行注册地址及办公地址：</w:t>
      </w:r>
      <w:r>
        <w:rPr>
          <w:rFonts w:ascii="仿宋" w:eastAsia="仿宋" w:hAnsi="仿宋" w:cs="Times New Roman" w:hint="eastAsia"/>
          <w:sz w:val="30"/>
          <w:szCs w:val="30"/>
        </w:rPr>
        <w:t>山西省临猗县南环东街518号</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lastRenderedPageBreak/>
        <w:t>邮政编码：044100</w:t>
      </w:r>
    </w:p>
    <w:p w:rsidR="00B5421D" w:rsidRDefault="00BF1FF1">
      <w:pPr>
        <w:adjustRightInd/>
        <w:snapToGrid/>
        <w:spacing w:after="0" w:line="600" w:lineRule="exact"/>
        <w:ind w:firstLineChars="200" w:firstLine="602"/>
        <w:jc w:val="both"/>
        <w:rPr>
          <w:rFonts w:ascii="仿宋" w:eastAsia="仿宋" w:hAnsi="仿宋" w:cs="宋体"/>
          <w:sz w:val="30"/>
          <w:szCs w:val="30"/>
        </w:rPr>
      </w:pPr>
      <w:r>
        <w:rPr>
          <w:rFonts w:ascii="仿宋" w:eastAsia="仿宋" w:hAnsi="仿宋" w:cs="Times New Roman" w:hint="eastAsia"/>
          <w:b/>
          <w:bCs/>
          <w:sz w:val="30"/>
          <w:szCs w:val="30"/>
        </w:rPr>
        <w:t>四、本行选定的信息披露方式：</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年度报告备置地点：本行办公室及主要营业场所</w:t>
      </w:r>
    </w:p>
    <w:p w:rsidR="00B5421D" w:rsidRDefault="00BF1FF1">
      <w:pPr>
        <w:adjustRightInd/>
        <w:snapToGrid/>
        <w:spacing w:after="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信息披露事务联系人：李少杰</w:t>
      </w:r>
    </w:p>
    <w:p w:rsidR="00B5421D" w:rsidRDefault="00BF1FF1">
      <w:pPr>
        <w:adjustRightInd/>
        <w:snapToGrid/>
        <w:spacing w:after="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联系电话（传真）：0359-8831222</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电子邮箱：lyxtczyh@163.com</w:t>
      </w:r>
    </w:p>
    <w:p w:rsidR="00B5421D" w:rsidRDefault="00BF1FF1">
      <w:pPr>
        <w:adjustRightInd/>
        <w:snapToGrid/>
        <w:spacing w:after="0" w:line="600" w:lineRule="exact"/>
        <w:ind w:firstLineChars="200" w:firstLine="602"/>
        <w:jc w:val="both"/>
        <w:rPr>
          <w:rFonts w:ascii="仿宋" w:eastAsia="仿宋" w:hAnsi="仿宋" w:cs="宋体"/>
          <w:sz w:val="30"/>
          <w:szCs w:val="30"/>
        </w:rPr>
      </w:pPr>
      <w:r>
        <w:rPr>
          <w:rFonts w:ascii="仿宋" w:eastAsia="仿宋" w:hAnsi="仿宋" w:cs="Times New Roman" w:hint="eastAsia"/>
          <w:b/>
          <w:bCs/>
          <w:sz w:val="30"/>
          <w:szCs w:val="30"/>
        </w:rPr>
        <w:t>五、其他有关信息：</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本行经银监会批准成立日期：2014年11月28日</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金融许可证机构编码：S0044H314080001</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本行注册登记日期：2014年12月11日</w:t>
      </w:r>
    </w:p>
    <w:p w:rsidR="00B5421D" w:rsidRDefault="00BF1FF1">
      <w:pPr>
        <w:adjustRightInd/>
        <w:snapToGrid/>
        <w:spacing w:after="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登记地点：国家金融监督管理总局运城监管分局</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本行经济性质：股份有限公司</w:t>
      </w:r>
    </w:p>
    <w:p w:rsidR="00B5421D" w:rsidRDefault="00BF1FF1">
      <w:pPr>
        <w:adjustRightInd/>
        <w:snapToGrid/>
        <w:spacing w:after="0" w:line="600" w:lineRule="exact"/>
        <w:ind w:firstLineChars="200" w:firstLine="600"/>
        <w:jc w:val="both"/>
        <w:rPr>
          <w:rFonts w:ascii="仿宋" w:eastAsia="仿宋" w:hAnsi="仿宋" w:cs="宋体"/>
          <w:sz w:val="30"/>
          <w:szCs w:val="30"/>
        </w:rPr>
      </w:pPr>
      <w:r>
        <w:rPr>
          <w:rFonts w:ascii="仿宋" w:eastAsia="仿宋" w:hAnsi="仿宋" w:cs="Times New Roman" w:hint="eastAsia"/>
          <w:sz w:val="30"/>
          <w:szCs w:val="30"/>
        </w:rPr>
        <w:t>本行注册资金：人民币6000万元</w:t>
      </w:r>
    </w:p>
    <w:p w:rsidR="00B5421D" w:rsidRDefault="00BF1FF1">
      <w:pPr>
        <w:adjustRightInd/>
        <w:snapToGrid/>
        <w:spacing w:after="0" w:line="600" w:lineRule="exact"/>
        <w:ind w:firstLineChars="200" w:firstLine="600"/>
        <w:rPr>
          <w:rFonts w:ascii="仿宋" w:eastAsia="仿宋" w:hAnsi="仿宋" w:cs="宋体"/>
          <w:sz w:val="30"/>
          <w:szCs w:val="30"/>
        </w:rPr>
      </w:pPr>
      <w:r>
        <w:rPr>
          <w:rFonts w:ascii="仿宋" w:eastAsia="仿宋" w:hAnsi="仿宋" w:cs="Times New Roman" w:hint="eastAsia"/>
          <w:sz w:val="30"/>
          <w:szCs w:val="30"/>
        </w:rPr>
        <w:t>企业法人营业执照统一社会信用代码9114080031718491XY</w:t>
      </w:r>
    </w:p>
    <w:p w:rsidR="00B5421D" w:rsidRDefault="00BF1FF1">
      <w:pPr>
        <w:adjustRightInd/>
        <w:snapToGrid/>
        <w:spacing w:after="0" w:line="600" w:lineRule="exact"/>
        <w:ind w:firstLineChars="200" w:firstLine="602"/>
        <w:jc w:val="both"/>
        <w:rPr>
          <w:rFonts w:ascii="仿宋" w:eastAsia="仿宋" w:hAnsi="仿宋" w:cs="宋体"/>
          <w:sz w:val="30"/>
          <w:szCs w:val="30"/>
        </w:rPr>
      </w:pPr>
      <w:r>
        <w:rPr>
          <w:rFonts w:ascii="仿宋" w:eastAsia="仿宋" w:hAnsi="仿宋" w:cs="Times New Roman" w:hint="eastAsia"/>
          <w:b/>
          <w:bCs/>
          <w:sz w:val="30"/>
          <w:szCs w:val="30"/>
        </w:rPr>
        <w:t>六、本行经营范围：</w:t>
      </w:r>
      <w:bookmarkStart w:id="1" w:name="_Toc193883015"/>
      <w:r>
        <w:rPr>
          <w:rFonts w:ascii="仿宋" w:eastAsia="仿宋" w:hAnsi="仿宋" w:cs="Times New Roman" w:hint="eastAsia"/>
          <w:sz w:val="30"/>
          <w:szCs w:val="30"/>
        </w:rPr>
        <w:t>吸收公众存款；发放短期、中期和长期贷款；办理国内结算；办理票据承兑与贴现；从事同业拆借；代理发行、代理兑付、承销政府债券；从事银行卡（借记卡）业务；经银行业监督管理机构批准的其他业务。</w:t>
      </w:r>
      <w:bookmarkEnd w:id="1"/>
      <w:r>
        <w:rPr>
          <w:rFonts w:ascii="仿宋" w:eastAsia="仿宋" w:hAnsi="仿宋" w:cs="Times New Roman" w:hint="eastAsia"/>
          <w:sz w:val="30"/>
          <w:szCs w:val="30"/>
        </w:rPr>
        <w:t>（依法须经批准的项目，经相关部门批准后方可开展经营活动）</w:t>
      </w:r>
    </w:p>
    <w:p w:rsidR="00B5421D" w:rsidRDefault="00B5421D">
      <w:pPr>
        <w:pStyle w:val="1"/>
        <w:spacing w:before="0" w:beforeAutospacing="0" w:after="0" w:afterAutospacing="0" w:line="600" w:lineRule="exact"/>
        <w:ind w:firstLineChars="200" w:firstLine="602"/>
        <w:rPr>
          <w:rStyle w:val="a9"/>
          <w:rFonts w:ascii="仿宋" w:eastAsia="仿宋" w:hAnsi="仿宋"/>
          <w:b/>
          <w:bCs/>
          <w:sz w:val="30"/>
          <w:szCs w:val="30"/>
        </w:rPr>
      </w:pPr>
      <w:bookmarkStart w:id="2" w:name="_Toc481079991"/>
    </w:p>
    <w:p w:rsidR="00B5421D" w:rsidRDefault="00BF1FF1">
      <w:pPr>
        <w:pStyle w:val="1"/>
        <w:spacing w:before="0" w:beforeAutospacing="0" w:after="0" w:afterAutospacing="0" w:line="600" w:lineRule="exact"/>
        <w:ind w:firstLineChars="200" w:firstLine="602"/>
        <w:jc w:val="center"/>
        <w:rPr>
          <w:rFonts w:ascii="仿宋" w:eastAsia="仿宋" w:hAnsi="仿宋"/>
          <w:sz w:val="30"/>
          <w:szCs w:val="30"/>
        </w:rPr>
      </w:pPr>
      <w:r>
        <w:rPr>
          <w:rStyle w:val="a9"/>
          <w:rFonts w:ascii="仿宋" w:eastAsia="仿宋" w:hAnsi="仿宋" w:hint="eastAsia"/>
          <w:b/>
          <w:bCs/>
          <w:sz w:val="30"/>
          <w:szCs w:val="30"/>
        </w:rPr>
        <w:t>第二章　经营概况</w:t>
      </w:r>
      <w:bookmarkStart w:id="3" w:name="_Toc193883016"/>
      <w:bookmarkStart w:id="4" w:name="_Toc227401501"/>
      <w:bookmarkEnd w:id="2"/>
      <w:bookmarkEnd w:id="3"/>
      <w:bookmarkEnd w:id="4"/>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微软雅黑" w:hint="eastAsia"/>
          <w:sz w:val="30"/>
          <w:szCs w:val="30"/>
        </w:rPr>
        <w:t> </w:t>
      </w:r>
      <w:r>
        <w:rPr>
          <w:rFonts w:ascii="仿宋" w:eastAsia="仿宋" w:hAnsi="仿宋" w:cs="Times New Roman" w:hint="eastAsia"/>
          <w:sz w:val="30"/>
          <w:szCs w:val="30"/>
        </w:rPr>
        <w:t>截止2024年末，我行总资产为132358.34万元，比年初增长15.82%；负债总额为124817.78万元，比年初增长</w:t>
      </w:r>
      <w:r>
        <w:rPr>
          <w:rFonts w:ascii="仿宋" w:eastAsia="仿宋" w:hAnsi="仿宋" w:cs="Times New Roman" w:hint="eastAsia"/>
          <w:sz w:val="30"/>
          <w:szCs w:val="30"/>
        </w:rPr>
        <w:lastRenderedPageBreak/>
        <w:t>16.89%；所有者权益为7540.56万元，实现净利润311.51万元。资产利润率为0.25%，资本利润率为4.14%，累计提取贷款减值准备金2000万元，拨备覆盖率达到216.39%，拨贷比为3.21%，流动性比例为392.20%，资本充足率为12.92%，全年安全无事故，各项主要监管指标符合监管要求。</w:t>
      </w:r>
    </w:p>
    <w:p w:rsidR="00B5421D" w:rsidRPr="006741B7" w:rsidRDefault="00BF1FF1" w:rsidP="006741B7">
      <w:pPr>
        <w:pStyle w:val="2"/>
        <w:spacing w:line="600" w:lineRule="exact"/>
        <w:ind w:firstLineChars="200" w:firstLine="602"/>
        <w:jc w:val="both"/>
        <w:rPr>
          <w:rStyle w:val="a9"/>
          <w:rFonts w:ascii="仿宋" w:eastAsia="仿宋" w:hAnsi="仿宋" w:cs="Arial"/>
        </w:rPr>
      </w:pPr>
      <w:r w:rsidRPr="006741B7">
        <w:rPr>
          <w:rStyle w:val="a9"/>
          <w:rFonts w:ascii="仿宋" w:eastAsia="仿宋" w:hAnsi="仿宋" w:cs="Arial"/>
          <w:b/>
          <w:bCs/>
          <w:sz w:val="30"/>
          <w:szCs w:val="30"/>
        </w:rPr>
        <w:t> </w:t>
      </w:r>
      <w:bookmarkStart w:id="5" w:name="_Toc481079992"/>
      <w:r w:rsidRPr="006741B7">
        <w:rPr>
          <w:rStyle w:val="a9"/>
          <w:rFonts w:ascii="仿宋" w:eastAsia="仿宋" w:hAnsi="仿宋" w:cs="Arial" w:hint="eastAsia"/>
          <w:b/>
          <w:bCs/>
          <w:sz w:val="30"/>
          <w:szCs w:val="30"/>
        </w:rPr>
        <w:t>一</w:t>
      </w:r>
      <w:bookmarkEnd w:id="5"/>
      <w:r w:rsidRPr="006741B7">
        <w:rPr>
          <w:rStyle w:val="a9"/>
          <w:rFonts w:ascii="仿宋" w:eastAsia="仿宋" w:hAnsi="仿宋" w:cs="Arial" w:hint="eastAsia"/>
          <w:b/>
          <w:bCs/>
          <w:sz w:val="30"/>
          <w:szCs w:val="30"/>
        </w:rPr>
        <w:t>、支农支小业务开展情况</w:t>
      </w:r>
    </w:p>
    <w:p w:rsidR="00B5421D" w:rsidRDefault="00BF1FF1">
      <w:pPr>
        <w:pStyle w:val="a8"/>
        <w:spacing w:before="0" w:beforeAutospacing="0" w:after="0" w:afterAutospacing="0" w:line="600" w:lineRule="exact"/>
        <w:ind w:firstLineChars="200" w:firstLine="420"/>
        <w:jc w:val="center"/>
        <w:rPr>
          <w:rFonts w:ascii="微软雅黑" w:eastAsia="微软雅黑" w:hAnsi="微软雅黑"/>
          <w:sz w:val="15"/>
          <w:szCs w:val="15"/>
        </w:rPr>
      </w:pPr>
      <w:r>
        <w:rPr>
          <w:rFonts w:ascii="Times New Roman" w:eastAsia="微软雅黑" w:hAnsi="Times New Roman" w:cs="Times New Roman"/>
          <w:sz w:val="21"/>
          <w:szCs w:val="21"/>
        </w:rPr>
        <w:t>                              </w:t>
      </w:r>
      <w:r>
        <w:rPr>
          <w:rFonts w:cs="Times New Roman" w:hint="eastAsia"/>
          <w:spacing w:val="20"/>
        </w:rPr>
        <w:t>单位：人民币万元、户、%</w:t>
      </w:r>
    </w:p>
    <w:tbl>
      <w:tblPr>
        <w:tblW w:w="7818"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4127"/>
        <w:gridCol w:w="3691"/>
      </w:tblGrid>
      <w:tr w:rsidR="00B5421D">
        <w:trPr>
          <w:trHeight w:val="264"/>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项目</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2024年度</w:t>
            </w:r>
          </w:p>
        </w:tc>
      </w:tr>
      <w:tr w:rsidR="00B5421D">
        <w:trPr>
          <w:trHeight w:val="264"/>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各项贷款余额</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62262</w:t>
            </w:r>
          </w:p>
        </w:tc>
      </w:tr>
      <w:tr w:rsidR="00B5421D">
        <w:trPr>
          <w:trHeight w:val="275"/>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农户和小微贷款合计占比</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hint="eastAsia"/>
              </w:rPr>
              <w:t>90</w:t>
            </w:r>
          </w:p>
        </w:tc>
      </w:tr>
      <w:tr w:rsidR="00B5421D">
        <w:trPr>
          <w:trHeight w:val="264"/>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累计发放农户和小微企业客户数</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hint="eastAsia"/>
              </w:rPr>
              <w:t>9777</w:t>
            </w:r>
          </w:p>
        </w:tc>
      </w:tr>
    </w:tbl>
    <w:p w:rsidR="00B5421D" w:rsidRDefault="00BF1FF1">
      <w:pPr>
        <w:pStyle w:val="2"/>
        <w:spacing w:line="600" w:lineRule="exact"/>
        <w:ind w:firstLineChars="200" w:firstLine="602"/>
        <w:jc w:val="both"/>
        <w:rPr>
          <w:rFonts w:ascii="仿宋" w:eastAsia="仿宋" w:hAnsi="仿宋"/>
          <w:sz w:val="30"/>
          <w:szCs w:val="30"/>
        </w:rPr>
      </w:pPr>
      <w:bookmarkStart w:id="6" w:name="_Toc481079993"/>
      <w:r>
        <w:rPr>
          <w:rStyle w:val="a9"/>
          <w:rFonts w:ascii="仿宋" w:eastAsia="仿宋" w:hAnsi="仿宋" w:cs="Arial" w:hint="eastAsia"/>
          <w:b/>
          <w:bCs/>
          <w:sz w:val="30"/>
          <w:szCs w:val="30"/>
        </w:rPr>
        <w:t>二、</w:t>
      </w:r>
      <w:bookmarkStart w:id="7" w:name="_Toc193883020"/>
      <w:bookmarkEnd w:id="6"/>
      <w:r>
        <w:rPr>
          <w:rStyle w:val="a9"/>
          <w:rFonts w:ascii="仿宋" w:eastAsia="仿宋" w:hAnsi="仿宋" w:cs="Arial" w:hint="eastAsia"/>
          <w:b/>
          <w:bCs/>
          <w:sz w:val="30"/>
          <w:szCs w:val="30"/>
        </w:rPr>
        <w:t>截止报告期末主要合规性监管指标</w:t>
      </w:r>
      <w:bookmarkEnd w:id="7"/>
    </w:p>
    <w:tbl>
      <w:tblPr>
        <w:tblW w:w="7869"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4300"/>
        <w:gridCol w:w="1799"/>
        <w:gridCol w:w="1770"/>
      </w:tblGrid>
      <w:tr w:rsidR="00B5421D">
        <w:trPr>
          <w:trHeight w:val="440"/>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项目</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标准值</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105" w:lineRule="atLeast"/>
              <w:jc w:val="center"/>
              <w:rPr>
                <w:rFonts w:ascii="仿宋" w:eastAsia="仿宋" w:hAnsi="仿宋"/>
              </w:rPr>
            </w:pPr>
            <w:r>
              <w:rPr>
                <w:rFonts w:ascii="仿宋" w:eastAsia="仿宋" w:hAnsi="仿宋" w:cs="Times New Roman" w:hint="eastAsia"/>
              </w:rPr>
              <w:t>2024年度</w:t>
            </w:r>
          </w:p>
        </w:tc>
      </w:tr>
      <w:tr w:rsidR="00B5421D">
        <w:trPr>
          <w:trHeight w:val="22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资本充足率（%）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≥10.5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12.92</w:t>
            </w:r>
          </w:p>
        </w:tc>
      </w:tr>
      <w:tr w:rsidR="00B5421D">
        <w:trPr>
          <w:trHeight w:val="171"/>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核心资本充足率（%）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≥8.5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10.98</w:t>
            </w:r>
          </w:p>
        </w:tc>
      </w:tr>
      <w:tr w:rsidR="00B5421D">
        <w:trPr>
          <w:trHeight w:val="276"/>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流动性比率（%）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≥25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392.20</w:t>
            </w:r>
          </w:p>
        </w:tc>
      </w:tr>
      <w:tr w:rsidR="00B5421D">
        <w:trPr>
          <w:trHeight w:val="60"/>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存贷比（%）</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≤75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 w:lineRule="atLeast"/>
              <w:jc w:val="center"/>
              <w:rPr>
                <w:rFonts w:ascii="仿宋" w:eastAsia="仿宋" w:hAnsi="仿宋"/>
              </w:rPr>
            </w:pPr>
            <w:r>
              <w:rPr>
                <w:rFonts w:ascii="仿宋" w:eastAsia="仿宋" w:hAnsi="仿宋" w:hint="eastAsia"/>
              </w:rPr>
              <w:t>52.37</w:t>
            </w:r>
          </w:p>
        </w:tc>
      </w:tr>
      <w:tr w:rsidR="00B5421D">
        <w:trPr>
          <w:trHeight w:val="199"/>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日均存贷比（%）</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≥50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47.81</w:t>
            </w:r>
          </w:p>
        </w:tc>
      </w:tr>
      <w:tr w:rsidR="00B5421D">
        <w:trPr>
          <w:trHeight w:val="30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净拆借资金比例（%）</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≤-4</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0</w:t>
            </w:r>
          </w:p>
        </w:tc>
      </w:tr>
      <w:tr w:rsidR="00B5421D">
        <w:trPr>
          <w:trHeight w:val="268"/>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不良贷款比例（%）</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1.48</w:t>
            </w:r>
          </w:p>
        </w:tc>
      </w:tr>
      <w:tr w:rsidR="00B5421D">
        <w:trPr>
          <w:trHeight w:val="228"/>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贷款拨备率（%）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≥2.5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3.21</w:t>
            </w:r>
          </w:p>
        </w:tc>
      </w:tr>
      <w:tr w:rsidR="00B5421D">
        <w:trPr>
          <w:trHeight w:val="131"/>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lastRenderedPageBreak/>
              <w:t>拨备覆盖率（%）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≥150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216.39</w:t>
            </w:r>
          </w:p>
        </w:tc>
      </w:tr>
      <w:tr w:rsidR="00B5421D">
        <w:trPr>
          <w:trHeight w:val="273"/>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资本利润率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≥11</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4.14</w:t>
            </w:r>
          </w:p>
        </w:tc>
      </w:tr>
      <w:tr w:rsidR="00B5421D">
        <w:trPr>
          <w:trHeight w:val="23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资产利润率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≥0.6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0.25</w:t>
            </w:r>
          </w:p>
        </w:tc>
      </w:tr>
      <w:tr w:rsidR="00B5421D">
        <w:trPr>
          <w:trHeight w:val="339"/>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成本收入比</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≤35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83.48</w:t>
            </w:r>
          </w:p>
        </w:tc>
      </w:tr>
      <w:tr w:rsidR="00B5421D">
        <w:trPr>
          <w:trHeight w:val="272"/>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流动性缺口率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≥-10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68.72</w:t>
            </w:r>
          </w:p>
        </w:tc>
      </w:tr>
      <w:tr w:rsidR="00B5421D">
        <w:trPr>
          <w:trHeight w:val="23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最大单一客户贷款比例（%）</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≤10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olor w:val="000000" w:themeColor="text1"/>
              </w:rPr>
            </w:pPr>
            <w:r>
              <w:rPr>
                <w:rFonts w:ascii="仿宋" w:eastAsia="仿宋" w:hAnsi="仿宋" w:hint="eastAsia"/>
                <w:color w:val="000000" w:themeColor="text1"/>
              </w:rPr>
              <w:t>5.63</w:t>
            </w:r>
          </w:p>
        </w:tc>
      </w:tr>
      <w:tr w:rsidR="00B5421D">
        <w:trPr>
          <w:trHeight w:val="195"/>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单一集团客户授信集中度（%）</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≤15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0</w:t>
            </w:r>
          </w:p>
        </w:tc>
      </w:tr>
    </w:tbl>
    <w:p w:rsidR="00B5421D" w:rsidRDefault="00BF1FF1">
      <w:pPr>
        <w:pStyle w:val="2"/>
        <w:spacing w:line="600" w:lineRule="exact"/>
        <w:ind w:firstLineChars="200" w:firstLine="602"/>
        <w:jc w:val="both"/>
        <w:rPr>
          <w:rFonts w:ascii="仿宋" w:eastAsia="仿宋" w:hAnsi="仿宋"/>
          <w:sz w:val="30"/>
          <w:szCs w:val="30"/>
          <w:highlight w:val="yellow"/>
        </w:rPr>
      </w:pPr>
      <w:bookmarkStart w:id="8" w:name="_Toc481079994"/>
      <w:r>
        <w:rPr>
          <w:rStyle w:val="a9"/>
          <w:rFonts w:ascii="仿宋" w:eastAsia="仿宋" w:hAnsi="仿宋" w:cs="Arial" w:hint="eastAsia"/>
          <w:b/>
          <w:bCs/>
          <w:sz w:val="30"/>
          <w:szCs w:val="30"/>
        </w:rPr>
        <w:t>三、应交纳保费金额统计表</w:t>
      </w:r>
      <w:bookmarkEnd w:id="8"/>
    </w:p>
    <w:p w:rsidR="00B5421D" w:rsidRDefault="00BF1FF1" w:rsidP="00BF1FF1">
      <w:pPr>
        <w:pStyle w:val="a8"/>
        <w:spacing w:before="0" w:beforeAutospacing="0" w:after="0" w:afterAutospacing="0" w:line="600" w:lineRule="exact"/>
        <w:ind w:firstLineChars="200" w:firstLine="520"/>
        <w:jc w:val="right"/>
        <w:rPr>
          <w:rFonts w:ascii="仿宋" w:eastAsia="仿宋" w:hAnsi="仿宋"/>
        </w:rPr>
      </w:pPr>
      <w:r>
        <w:rPr>
          <w:rFonts w:ascii="仿宋" w:eastAsia="仿宋" w:hAnsi="仿宋" w:cs="Times New Roman" w:hint="eastAsia"/>
          <w:spacing w:val="20"/>
        </w:rPr>
        <w:t>单位：万元</w:t>
      </w:r>
    </w:p>
    <w:tbl>
      <w:tblPr>
        <w:tblW w:w="8121"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799"/>
        <w:gridCol w:w="2670"/>
        <w:gridCol w:w="2143"/>
        <w:gridCol w:w="2509"/>
      </w:tblGrid>
      <w:tr w:rsidR="00B5421D">
        <w:trPr>
          <w:trHeight w:val="244"/>
          <w:jc w:val="center"/>
        </w:trPr>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序号</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缴费时间</w:t>
            </w:r>
          </w:p>
        </w:tc>
        <w:tc>
          <w:tcPr>
            <w:tcW w:w="2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本期保费基数</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本期应交纳保费数额</w:t>
            </w:r>
          </w:p>
        </w:tc>
      </w:tr>
      <w:tr w:rsidR="00B5421D">
        <w:trPr>
          <w:trHeight w:val="279"/>
          <w:jc w:val="center"/>
        </w:trPr>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rPr>
                <w:rFonts w:ascii="仿宋" w:eastAsia="仿宋" w:hAnsi="仿宋"/>
              </w:rPr>
            </w:pPr>
            <w:r>
              <w:rPr>
                <w:rFonts w:ascii="仿宋" w:eastAsia="仿宋" w:hAnsi="仿宋" w:cs="Times New Roman" w:hint="eastAsia"/>
              </w:rPr>
              <w:t>2024年1月-6月</w:t>
            </w:r>
          </w:p>
        </w:tc>
        <w:tc>
          <w:tcPr>
            <w:tcW w:w="2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99611</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17.43</w:t>
            </w:r>
          </w:p>
        </w:tc>
      </w:tr>
      <w:tr w:rsidR="00B5421D">
        <w:trPr>
          <w:trHeight w:val="239"/>
          <w:jc w:val="center"/>
        </w:trPr>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2024年7月-12月</w:t>
            </w:r>
          </w:p>
        </w:tc>
        <w:tc>
          <w:tcPr>
            <w:tcW w:w="2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109841.58</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hint="eastAsia"/>
              </w:rPr>
              <w:t>19.22</w:t>
            </w:r>
          </w:p>
        </w:tc>
      </w:tr>
    </w:tbl>
    <w:p w:rsidR="00B5421D" w:rsidRDefault="00BF1FF1">
      <w:pPr>
        <w:pStyle w:val="a8"/>
        <w:spacing w:before="0" w:beforeAutospacing="0" w:after="0" w:afterAutospacing="0" w:line="600" w:lineRule="exact"/>
        <w:ind w:firstLineChars="200" w:firstLine="300"/>
        <w:jc w:val="both"/>
        <w:rPr>
          <w:rFonts w:ascii="微软雅黑" w:eastAsia="微软雅黑" w:hAnsi="微软雅黑"/>
          <w:sz w:val="15"/>
          <w:szCs w:val="15"/>
        </w:rPr>
      </w:pPr>
      <w:r>
        <w:rPr>
          <w:rFonts w:ascii="微软雅黑" w:eastAsia="微软雅黑" w:hAnsi="微软雅黑" w:hint="eastAsia"/>
          <w:sz w:val="15"/>
          <w:szCs w:val="15"/>
        </w:rPr>
        <w:t> </w:t>
      </w:r>
      <w:bookmarkStart w:id="9" w:name="_Toc481079995"/>
    </w:p>
    <w:p w:rsidR="00855A2C" w:rsidRDefault="00855A2C" w:rsidP="00855A2C">
      <w:pPr>
        <w:pStyle w:val="a8"/>
        <w:spacing w:before="0" w:beforeAutospacing="0" w:after="0" w:afterAutospacing="0" w:line="600" w:lineRule="exact"/>
        <w:ind w:firstLineChars="200" w:firstLine="600"/>
        <w:jc w:val="both"/>
        <w:rPr>
          <w:rStyle w:val="a9"/>
          <w:b w:val="0"/>
          <w:bCs w:val="0"/>
          <w:sz w:val="30"/>
          <w:szCs w:val="30"/>
        </w:rPr>
      </w:pPr>
    </w:p>
    <w:p w:rsidR="00B5421D" w:rsidRPr="00573B98" w:rsidRDefault="00BF1FF1" w:rsidP="00573B98">
      <w:pPr>
        <w:adjustRightInd/>
        <w:snapToGrid/>
        <w:spacing w:after="0" w:line="600" w:lineRule="exact"/>
        <w:ind w:firstLineChars="200" w:firstLine="602"/>
        <w:jc w:val="center"/>
        <w:outlineLvl w:val="0"/>
        <w:rPr>
          <w:rFonts w:ascii="仿宋" w:eastAsia="仿宋" w:hAnsi="仿宋" w:cs="宋体"/>
          <w:b/>
          <w:bCs/>
          <w:kern w:val="36"/>
          <w:sz w:val="30"/>
          <w:szCs w:val="30"/>
        </w:rPr>
      </w:pPr>
      <w:r w:rsidRPr="00573B98">
        <w:rPr>
          <w:rFonts w:ascii="仿宋" w:eastAsia="仿宋" w:hAnsi="仿宋" w:cs="宋体" w:hint="eastAsia"/>
          <w:b/>
          <w:kern w:val="36"/>
          <w:sz w:val="30"/>
          <w:szCs w:val="30"/>
        </w:rPr>
        <w:t>第三章　财务会计报告</w:t>
      </w:r>
      <w:bookmarkEnd w:id="9"/>
    </w:p>
    <w:p w:rsidR="00B5421D" w:rsidRDefault="00BF1FF1">
      <w:pPr>
        <w:pStyle w:val="2"/>
        <w:spacing w:before="0" w:after="0" w:line="600" w:lineRule="exact"/>
        <w:ind w:firstLineChars="200" w:firstLine="602"/>
        <w:jc w:val="both"/>
        <w:rPr>
          <w:rFonts w:ascii="仿宋" w:eastAsia="仿宋" w:hAnsi="仿宋"/>
          <w:sz w:val="30"/>
          <w:szCs w:val="30"/>
          <w:highlight w:val="yellow"/>
        </w:rPr>
      </w:pPr>
      <w:r>
        <w:rPr>
          <w:rStyle w:val="a9"/>
          <w:rFonts w:ascii="Arial" w:eastAsia="仿宋" w:hAnsi="Arial" w:cs="Arial"/>
          <w:b/>
          <w:bCs/>
          <w:sz w:val="30"/>
          <w:szCs w:val="30"/>
        </w:rPr>
        <w:t>   </w:t>
      </w:r>
      <w:r>
        <w:rPr>
          <w:rStyle w:val="apple-converted-space"/>
          <w:rFonts w:ascii="Arial" w:eastAsia="仿宋" w:hAnsi="Arial" w:cs="Arial"/>
          <w:sz w:val="30"/>
          <w:szCs w:val="30"/>
        </w:rPr>
        <w:t> </w:t>
      </w:r>
      <w:bookmarkStart w:id="10" w:name="_Toc481079996"/>
      <w:r>
        <w:rPr>
          <w:rStyle w:val="a9"/>
          <w:rFonts w:ascii="仿宋" w:eastAsia="仿宋" w:hAnsi="仿宋" w:cs="Arial" w:hint="eastAsia"/>
          <w:b/>
          <w:bCs/>
          <w:sz w:val="30"/>
          <w:szCs w:val="30"/>
        </w:rPr>
        <w:t>一、</w:t>
      </w:r>
      <w:bookmarkEnd w:id="10"/>
      <w:r>
        <w:rPr>
          <w:rStyle w:val="a9"/>
          <w:rFonts w:ascii="仿宋" w:eastAsia="仿宋" w:hAnsi="仿宋" w:cs="Arial" w:hint="eastAsia"/>
          <w:b/>
          <w:bCs/>
          <w:sz w:val="30"/>
          <w:szCs w:val="30"/>
        </w:rPr>
        <w:t>会计报表</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bookmarkStart w:id="11" w:name="_Toc481079997"/>
      <w:r>
        <w:rPr>
          <w:rFonts w:ascii="仿宋" w:eastAsia="仿宋" w:hAnsi="仿宋" w:cs="Times New Roman" w:hint="eastAsia"/>
          <w:sz w:val="30"/>
          <w:szCs w:val="30"/>
        </w:rPr>
        <w:t>（一）资产负债表</w:t>
      </w:r>
      <w:bookmarkEnd w:id="11"/>
    </w:p>
    <w:p w:rsidR="00B5421D" w:rsidRDefault="00BF1FF1">
      <w:pPr>
        <w:pStyle w:val="a8"/>
        <w:spacing w:before="0" w:beforeAutospacing="0" w:after="0" w:afterAutospacing="0" w:line="600" w:lineRule="exact"/>
        <w:ind w:firstLineChars="200" w:firstLine="602"/>
        <w:jc w:val="center"/>
        <w:rPr>
          <w:rStyle w:val="a9"/>
          <w:rFonts w:ascii="仿宋" w:eastAsia="仿宋" w:hAnsi="仿宋" w:cs="Times New Roman"/>
          <w:sz w:val="30"/>
          <w:szCs w:val="30"/>
        </w:rPr>
      </w:pPr>
      <w:r>
        <w:rPr>
          <w:rStyle w:val="a9"/>
          <w:rFonts w:ascii="仿宋" w:eastAsia="仿宋" w:hAnsi="仿宋" w:cs="Times New Roman" w:hint="eastAsia"/>
          <w:sz w:val="30"/>
          <w:szCs w:val="30"/>
        </w:rPr>
        <w:t>临猗新田村镇银行资产负债表</w:t>
      </w:r>
    </w:p>
    <w:p w:rsidR="00B5421D" w:rsidRPr="005D594D" w:rsidRDefault="00BF1FF1">
      <w:pPr>
        <w:pStyle w:val="a8"/>
        <w:spacing w:before="0" w:beforeAutospacing="0" w:after="0" w:afterAutospacing="0" w:line="600" w:lineRule="exact"/>
        <w:ind w:rightChars="-155" w:right="-341"/>
        <w:rPr>
          <w:rFonts w:ascii="仿宋" w:eastAsia="仿宋" w:hAnsi="仿宋"/>
        </w:rPr>
      </w:pPr>
      <w:r w:rsidRPr="005D594D">
        <w:rPr>
          <w:rFonts w:ascii="仿宋" w:eastAsia="仿宋" w:hAnsi="仿宋" w:cs="Times New Roman" w:hint="eastAsia"/>
        </w:rPr>
        <w:t>编制单位：临猗新田村镇银行日期：2024年12月31日       单位：元</w:t>
      </w:r>
    </w:p>
    <w:p w:rsidR="00B5421D" w:rsidRDefault="00B5421D">
      <w:pPr>
        <w:pStyle w:val="a8"/>
        <w:spacing w:before="0" w:beforeAutospacing="0" w:after="0" w:afterAutospacing="0"/>
        <w:jc w:val="center"/>
        <w:rPr>
          <w:rStyle w:val="a9"/>
          <w:rFonts w:ascii="仿宋" w:eastAsia="仿宋" w:hAnsi="仿宋" w:cs="Times New Roman"/>
        </w:rPr>
      </w:pPr>
    </w:p>
    <w:tbl>
      <w:tblPr>
        <w:tblW w:w="9700" w:type="dxa"/>
        <w:tblInd w:w="89" w:type="dxa"/>
        <w:tblLook w:val="04A0"/>
      </w:tblPr>
      <w:tblGrid>
        <w:gridCol w:w="1262"/>
        <w:gridCol w:w="1776"/>
        <w:gridCol w:w="1776"/>
        <w:gridCol w:w="1334"/>
        <w:gridCol w:w="1776"/>
        <w:gridCol w:w="1776"/>
      </w:tblGrid>
      <w:tr w:rsidR="00027F34" w:rsidRPr="00855A2C" w:rsidTr="00027F34">
        <w:trPr>
          <w:cantSplit/>
          <w:trHeight w:val="555"/>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jc w:val="center"/>
              <w:rPr>
                <w:rFonts w:ascii="仿宋" w:eastAsia="仿宋" w:hAnsi="仿宋" w:cs="Arial"/>
                <w:bCs/>
                <w:color w:val="000000"/>
                <w:sz w:val="24"/>
                <w:szCs w:val="24"/>
              </w:rPr>
            </w:pPr>
            <w:r w:rsidRPr="00855A2C">
              <w:rPr>
                <w:rFonts w:ascii="仿宋" w:eastAsia="仿宋" w:hAnsi="仿宋" w:cs="Arial" w:hint="eastAsia"/>
                <w:bCs/>
                <w:color w:val="000000"/>
                <w:sz w:val="24"/>
                <w:szCs w:val="24"/>
              </w:rPr>
              <w:lastRenderedPageBreak/>
              <w:t>资产</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jc w:val="center"/>
              <w:rPr>
                <w:rFonts w:ascii="仿宋" w:eastAsia="仿宋" w:hAnsi="仿宋" w:cs="Arial"/>
                <w:bCs/>
                <w:color w:val="000000"/>
                <w:sz w:val="24"/>
                <w:szCs w:val="24"/>
              </w:rPr>
            </w:pPr>
            <w:r w:rsidRPr="00855A2C">
              <w:rPr>
                <w:rFonts w:ascii="仿宋" w:eastAsia="仿宋" w:hAnsi="仿宋" w:cs="Arial" w:hint="eastAsia"/>
                <w:bCs/>
                <w:color w:val="000000"/>
                <w:sz w:val="24"/>
                <w:szCs w:val="24"/>
              </w:rPr>
              <w:t>期初数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jc w:val="center"/>
              <w:rPr>
                <w:rFonts w:ascii="仿宋" w:eastAsia="仿宋" w:hAnsi="仿宋" w:cs="Arial"/>
                <w:bCs/>
                <w:color w:val="000000"/>
                <w:sz w:val="24"/>
                <w:szCs w:val="24"/>
              </w:rPr>
            </w:pPr>
            <w:r w:rsidRPr="00855A2C">
              <w:rPr>
                <w:rFonts w:ascii="仿宋" w:eastAsia="仿宋" w:hAnsi="仿宋" w:cs="Arial" w:hint="eastAsia"/>
                <w:bCs/>
                <w:color w:val="000000"/>
                <w:sz w:val="24"/>
                <w:szCs w:val="24"/>
              </w:rPr>
              <w:t>期末数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jc w:val="center"/>
              <w:rPr>
                <w:rFonts w:ascii="仿宋" w:eastAsia="仿宋" w:hAnsi="仿宋" w:cs="Arial"/>
                <w:bCs/>
                <w:color w:val="000000"/>
                <w:sz w:val="24"/>
                <w:szCs w:val="24"/>
              </w:rPr>
            </w:pPr>
            <w:r w:rsidRPr="00855A2C">
              <w:rPr>
                <w:rFonts w:ascii="仿宋" w:eastAsia="仿宋" w:hAnsi="仿宋" w:cs="Arial" w:hint="eastAsia"/>
                <w:bCs/>
                <w:color w:val="000000"/>
                <w:sz w:val="24"/>
                <w:szCs w:val="24"/>
              </w:rPr>
              <w:t>负债及所有者权益合计</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jc w:val="center"/>
              <w:rPr>
                <w:rFonts w:ascii="仿宋" w:eastAsia="仿宋" w:hAnsi="仿宋" w:cs="Arial"/>
                <w:bCs/>
                <w:color w:val="000000"/>
                <w:sz w:val="24"/>
                <w:szCs w:val="24"/>
              </w:rPr>
            </w:pPr>
            <w:r w:rsidRPr="00855A2C">
              <w:rPr>
                <w:rFonts w:ascii="仿宋" w:eastAsia="仿宋" w:hAnsi="仿宋" w:cs="Arial" w:hint="eastAsia"/>
                <w:bCs/>
                <w:color w:val="000000"/>
                <w:sz w:val="24"/>
                <w:szCs w:val="24"/>
              </w:rPr>
              <w:t>期初数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jc w:val="center"/>
              <w:rPr>
                <w:rFonts w:ascii="仿宋" w:eastAsia="仿宋" w:hAnsi="仿宋" w:cs="Arial"/>
                <w:bCs/>
                <w:color w:val="000000"/>
                <w:sz w:val="24"/>
                <w:szCs w:val="24"/>
              </w:rPr>
            </w:pPr>
            <w:r w:rsidRPr="00855A2C">
              <w:rPr>
                <w:rFonts w:ascii="仿宋" w:eastAsia="仿宋" w:hAnsi="仿宋" w:cs="Arial" w:hint="eastAsia"/>
                <w:bCs/>
                <w:color w:val="000000"/>
                <w:sz w:val="24"/>
                <w:szCs w:val="24"/>
              </w:rPr>
              <w:t>期末数</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现金及存放中央银行款项</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62344649.89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155540996.93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向中央银行借款</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20000000.00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存放同业款项</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568392221.23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557353530.45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同业及其他金融机构存放款项</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贵金属</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拆入资金</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拆出资金</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交易性金融负债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衍生金融资产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以公允价值计量且其变动</w:t>
            </w:r>
            <w:r w:rsidRPr="00855A2C">
              <w:rPr>
                <w:rFonts w:ascii="仿宋" w:eastAsia="仿宋" w:hAnsi="仿宋" w:cs="Arial"/>
                <w:bCs/>
                <w:color w:val="000000"/>
                <w:sz w:val="24"/>
                <w:szCs w:val="24"/>
              </w:rPr>
              <w:br/>
            </w:r>
            <w:r w:rsidRPr="00855A2C">
              <w:rPr>
                <w:rFonts w:ascii="仿宋" w:eastAsia="仿宋" w:hAnsi="仿宋" w:cs="Arial"/>
                <w:bCs/>
                <w:color w:val="000000"/>
                <w:sz w:val="24"/>
                <w:szCs w:val="24"/>
              </w:rPr>
              <w:br/>
              <w:t>计入当期损益的金融负债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买入返售金融资产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衍生金融负债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应收利息</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25702.62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513537.80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卖出回购金融资产款</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持有待售资产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吸收存款</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1003104961.62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1188831333.89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发放贷款和垫款</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503917401.99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602622086.66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应付职工薪酬</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2251589.20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2478468.04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以公允价值计量且其变动</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应交税费</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1441572.61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367803.92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可供出售金融资产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应付利息</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34405917.29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44849395.19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持有至到期投资</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持有待售负债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应收款项投资</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预计负债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金融投资：</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应付债券</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交易性金融资产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其中：优先股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3B152B">
        <w:trPr>
          <w:cantSplit/>
          <w:trHeight w:val="555"/>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lastRenderedPageBreak/>
              <w:t>债权投资</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永续债</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其他债权投资</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递延所得税负债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其他权益工具投资</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其他负债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6616512.99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11650803.91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长期股权投资</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负债合计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1067820553.71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1248177804.95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投资性房地产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所有者权益（或股东权益）：</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固定资产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877762.10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669448.23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实收资本（或股本）</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60000000.00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60000000.00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在建工程</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其他权益工具</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无形资产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其中：优先股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商誉</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永续债</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递延所得税资产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资本公积</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其他资产</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9933004.74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9551898.43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减：库存股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存放同业减值准备</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-2668122.59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-2668122.59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其他综合收益</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同业借出款</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盈余公积</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2745549.04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3057063.80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存放系统内款项</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一般风险准备</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3391149.04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3702663.80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未分配利润</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8865368.19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8645843.36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0.00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股东权益合计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75002066.27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75405570.96 </w:t>
            </w:r>
          </w:p>
        </w:tc>
      </w:tr>
      <w:tr w:rsidR="00027F34" w:rsidRPr="00855A2C" w:rsidTr="00027F34">
        <w:trPr>
          <w:cantSplit/>
          <w:trHeight w:val="555"/>
          <w:tblHead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资产合计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1142822619.98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1323583375.91 </w:t>
            </w:r>
          </w:p>
        </w:tc>
        <w:tc>
          <w:tcPr>
            <w:tcW w:w="1360" w:type="dxa"/>
            <w:tcBorders>
              <w:top w:val="nil"/>
              <w:left w:val="nil"/>
              <w:bottom w:val="single" w:sz="4" w:space="0" w:color="auto"/>
              <w:right w:val="single" w:sz="4" w:space="0" w:color="auto"/>
            </w:tcBorders>
            <w:shd w:val="clear" w:color="auto" w:fill="auto"/>
            <w:vAlign w:val="center"/>
            <w:hideMark/>
          </w:tcPr>
          <w:p w:rsidR="00027F34" w:rsidRPr="00855A2C" w:rsidRDefault="00027F34" w:rsidP="00027F34">
            <w:pPr>
              <w:adjustRightInd/>
              <w:snapToGrid/>
              <w:spacing w:after="0"/>
              <w:rPr>
                <w:rFonts w:ascii="仿宋" w:eastAsia="仿宋" w:hAnsi="仿宋" w:cs="Arial"/>
                <w:bCs/>
                <w:color w:val="000000"/>
                <w:sz w:val="24"/>
                <w:szCs w:val="24"/>
              </w:rPr>
            </w:pPr>
            <w:r w:rsidRPr="00855A2C">
              <w:rPr>
                <w:rFonts w:ascii="仿宋" w:eastAsia="仿宋" w:hAnsi="仿宋" w:cs="Arial"/>
                <w:bCs/>
                <w:color w:val="000000"/>
                <w:sz w:val="24"/>
                <w:szCs w:val="24"/>
              </w:rPr>
              <w:t>负债和所有者权益合计</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1142822619.98 </w:t>
            </w:r>
          </w:p>
        </w:tc>
        <w:tc>
          <w:tcPr>
            <w:tcW w:w="1760" w:type="dxa"/>
            <w:tcBorders>
              <w:top w:val="nil"/>
              <w:left w:val="nil"/>
              <w:bottom w:val="single" w:sz="4" w:space="0" w:color="auto"/>
              <w:right w:val="single" w:sz="4" w:space="0" w:color="auto"/>
            </w:tcBorders>
            <w:shd w:val="clear" w:color="auto" w:fill="auto"/>
            <w:noWrap/>
            <w:vAlign w:val="center"/>
            <w:hideMark/>
          </w:tcPr>
          <w:p w:rsidR="00027F34" w:rsidRPr="00855A2C" w:rsidRDefault="00027F34" w:rsidP="00027F34">
            <w:pPr>
              <w:adjustRightInd/>
              <w:snapToGrid/>
              <w:spacing w:after="0"/>
              <w:jc w:val="right"/>
              <w:rPr>
                <w:rFonts w:ascii="仿宋" w:eastAsia="仿宋" w:hAnsi="仿宋" w:cs="Arial"/>
                <w:bCs/>
                <w:color w:val="000000"/>
                <w:sz w:val="24"/>
                <w:szCs w:val="24"/>
              </w:rPr>
            </w:pPr>
            <w:r w:rsidRPr="00855A2C">
              <w:rPr>
                <w:rFonts w:ascii="仿宋" w:eastAsia="仿宋" w:hAnsi="仿宋" w:cs="Arial"/>
                <w:bCs/>
                <w:color w:val="000000"/>
                <w:sz w:val="24"/>
                <w:szCs w:val="24"/>
              </w:rPr>
              <w:t xml:space="preserve">1323583375.91 </w:t>
            </w:r>
          </w:p>
        </w:tc>
      </w:tr>
    </w:tbl>
    <w:p w:rsidR="00B5421D" w:rsidRDefault="00B5421D">
      <w:pPr>
        <w:pStyle w:val="a8"/>
        <w:spacing w:before="0" w:beforeAutospacing="0" w:after="0" w:afterAutospacing="0"/>
        <w:jc w:val="center"/>
        <w:rPr>
          <w:rStyle w:val="a9"/>
          <w:rFonts w:ascii="仿宋" w:eastAsia="仿宋" w:hAnsi="仿宋" w:cs="Times New Roman"/>
        </w:rPr>
      </w:pPr>
    </w:p>
    <w:p w:rsidR="00093C71" w:rsidRDefault="00093C71">
      <w:pPr>
        <w:pStyle w:val="a8"/>
        <w:spacing w:before="0" w:beforeAutospacing="0" w:after="0" w:afterAutospacing="0" w:line="600" w:lineRule="exact"/>
        <w:ind w:firstLineChars="200" w:firstLine="602"/>
        <w:jc w:val="center"/>
        <w:rPr>
          <w:rStyle w:val="a9"/>
          <w:rFonts w:ascii="仿宋" w:eastAsia="仿宋" w:hAnsi="仿宋" w:cs="Times New Roman"/>
          <w:sz w:val="30"/>
          <w:szCs w:val="30"/>
        </w:rPr>
      </w:pPr>
    </w:p>
    <w:p w:rsidR="00093C71" w:rsidRDefault="00093C71">
      <w:pPr>
        <w:pStyle w:val="a8"/>
        <w:spacing w:before="0" w:beforeAutospacing="0" w:after="0" w:afterAutospacing="0" w:line="600" w:lineRule="exact"/>
        <w:ind w:firstLineChars="200" w:firstLine="602"/>
        <w:jc w:val="center"/>
        <w:rPr>
          <w:rStyle w:val="a9"/>
          <w:rFonts w:ascii="仿宋" w:eastAsia="仿宋" w:hAnsi="仿宋" w:cs="Times New Roman"/>
          <w:sz w:val="30"/>
          <w:szCs w:val="30"/>
        </w:rPr>
      </w:pPr>
    </w:p>
    <w:p w:rsidR="00B5421D" w:rsidRDefault="00BF1FF1">
      <w:pPr>
        <w:pStyle w:val="a8"/>
        <w:spacing w:before="0" w:beforeAutospacing="0" w:after="0" w:afterAutospacing="0" w:line="600" w:lineRule="exact"/>
        <w:ind w:firstLineChars="200" w:firstLine="602"/>
        <w:jc w:val="center"/>
        <w:rPr>
          <w:rStyle w:val="a9"/>
          <w:rFonts w:ascii="仿宋" w:eastAsia="仿宋" w:hAnsi="仿宋" w:cs="Times New Roman"/>
          <w:sz w:val="30"/>
          <w:szCs w:val="30"/>
        </w:rPr>
      </w:pPr>
      <w:r>
        <w:rPr>
          <w:rStyle w:val="a9"/>
          <w:rFonts w:ascii="仿宋" w:eastAsia="仿宋" w:hAnsi="仿宋" w:cs="Times New Roman" w:hint="eastAsia"/>
          <w:sz w:val="30"/>
          <w:szCs w:val="30"/>
        </w:rPr>
        <w:lastRenderedPageBreak/>
        <w:t>临猗新田村镇银行利润表</w:t>
      </w:r>
    </w:p>
    <w:p w:rsidR="00B5421D" w:rsidRPr="005D594D" w:rsidRDefault="00BF1FF1">
      <w:pPr>
        <w:pStyle w:val="a8"/>
        <w:spacing w:before="0" w:beforeAutospacing="0" w:after="0" w:afterAutospacing="0" w:line="600" w:lineRule="exact"/>
        <w:ind w:rightChars="-155" w:right="-341"/>
        <w:rPr>
          <w:rFonts w:ascii="仿宋" w:eastAsia="仿宋" w:hAnsi="仿宋" w:cs="Times New Roman"/>
        </w:rPr>
      </w:pPr>
      <w:r w:rsidRPr="005D594D">
        <w:rPr>
          <w:rFonts w:ascii="仿宋" w:eastAsia="仿宋" w:hAnsi="仿宋" w:cs="Times New Roman" w:hint="eastAsia"/>
        </w:rPr>
        <w:t>编制单位：临猗新田村镇银行日期：2024年12月31日       单位：元</w:t>
      </w:r>
    </w:p>
    <w:tbl>
      <w:tblPr>
        <w:tblW w:w="0" w:type="auto"/>
        <w:tblInd w:w="89" w:type="dxa"/>
        <w:tblLook w:val="04A0"/>
      </w:tblPr>
      <w:tblGrid>
        <w:gridCol w:w="1495"/>
        <w:gridCol w:w="1426"/>
        <w:gridCol w:w="1426"/>
        <w:gridCol w:w="1454"/>
        <w:gridCol w:w="1316"/>
        <w:gridCol w:w="1316"/>
      </w:tblGrid>
      <w:tr w:rsidR="00027F34" w:rsidRPr="00027F34" w:rsidTr="00027F34">
        <w:trPr>
          <w:cantSplit/>
          <w:trHeight w:val="480"/>
        </w:trPr>
        <w:tc>
          <w:tcPr>
            <w:tcW w:w="0" w:type="auto"/>
            <w:tcBorders>
              <w:top w:val="single" w:sz="8" w:space="0" w:color="auto"/>
              <w:left w:val="single" w:sz="8" w:space="0" w:color="auto"/>
              <w:bottom w:val="single" w:sz="8" w:space="0" w:color="auto"/>
              <w:right w:val="single" w:sz="8" w:space="0" w:color="auto"/>
            </w:tcBorders>
            <w:shd w:val="clear" w:color="auto" w:fill="auto"/>
            <w:vAlign w:val="bottom"/>
            <w:hideMark/>
          </w:tcPr>
          <w:p w:rsidR="00027F34" w:rsidRPr="00027F34" w:rsidRDefault="00027F34" w:rsidP="00027F34">
            <w:pPr>
              <w:adjustRightInd/>
              <w:snapToGrid/>
              <w:spacing w:after="0"/>
              <w:jc w:val="center"/>
              <w:rPr>
                <w:rFonts w:ascii="仿宋" w:eastAsia="仿宋" w:hAnsi="仿宋" w:cs="Arial"/>
                <w:color w:val="000000"/>
              </w:rPr>
            </w:pPr>
            <w:r w:rsidRPr="00027F34">
              <w:rPr>
                <w:rFonts w:ascii="仿宋" w:eastAsia="仿宋" w:hAnsi="仿宋" w:cs="Arial" w:hint="eastAsia"/>
                <w:color w:val="000000"/>
              </w:rPr>
              <w:t>项目</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27F34" w:rsidRPr="00027F34" w:rsidRDefault="00027F34" w:rsidP="00027F34">
            <w:pPr>
              <w:adjustRightInd/>
              <w:snapToGrid/>
              <w:spacing w:after="0"/>
              <w:jc w:val="center"/>
              <w:rPr>
                <w:rFonts w:ascii="仿宋" w:eastAsia="仿宋" w:hAnsi="仿宋" w:cs="Arial"/>
                <w:color w:val="000000"/>
              </w:rPr>
            </w:pPr>
            <w:r w:rsidRPr="00027F34">
              <w:rPr>
                <w:rFonts w:ascii="仿宋" w:eastAsia="仿宋" w:hAnsi="仿宋" w:cs="Arial" w:hint="eastAsia"/>
                <w:color w:val="000000"/>
              </w:rPr>
              <w:t>上期数</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27F34" w:rsidRPr="00027F34" w:rsidRDefault="00027F34" w:rsidP="00027F34">
            <w:pPr>
              <w:adjustRightInd/>
              <w:snapToGrid/>
              <w:spacing w:after="0"/>
              <w:jc w:val="center"/>
              <w:rPr>
                <w:rFonts w:ascii="仿宋" w:eastAsia="仿宋" w:hAnsi="仿宋" w:cs="Arial"/>
                <w:color w:val="000000"/>
              </w:rPr>
            </w:pPr>
            <w:r w:rsidRPr="00027F34">
              <w:rPr>
                <w:rFonts w:ascii="仿宋" w:eastAsia="仿宋" w:hAnsi="仿宋" w:cs="Arial" w:hint="eastAsia"/>
                <w:color w:val="000000"/>
              </w:rPr>
              <w:t>本期数</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27F34" w:rsidRPr="00027F34" w:rsidRDefault="00027F34" w:rsidP="00027F34">
            <w:pPr>
              <w:adjustRightInd/>
              <w:snapToGrid/>
              <w:spacing w:after="0"/>
              <w:jc w:val="center"/>
              <w:rPr>
                <w:rFonts w:ascii="仿宋" w:eastAsia="仿宋" w:hAnsi="仿宋" w:cs="Arial"/>
                <w:color w:val="000000"/>
              </w:rPr>
            </w:pPr>
            <w:r w:rsidRPr="00027F34">
              <w:rPr>
                <w:rFonts w:ascii="仿宋" w:eastAsia="仿宋" w:hAnsi="仿宋" w:cs="Arial" w:hint="eastAsia"/>
                <w:color w:val="000000"/>
              </w:rPr>
              <w:t>项目</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27F34" w:rsidRPr="00027F34" w:rsidRDefault="00027F34" w:rsidP="00027F34">
            <w:pPr>
              <w:adjustRightInd/>
              <w:snapToGrid/>
              <w:spacing w:after="0"/>
              <w:jc w:val="center"/>
              <w:rPr>
                <w:rFonts w:ascii="仿宋" w:eastAsia="仿宋" w:hAnsi="仿宋" w:cs="Arial"/>
                <w:color w:val="000000"/>
              </w:rPr>
            </w:pPr>
            <w:r w:rsidRPr="00027F34">
              <w:rPr>
                <w:rFonts w:ascii="仿宋" w:eastAsia="仿宋" w:hAnsi="仿宋" w:cs="Arial" w:hint="eastAsia"/>
                <w:color w:val="000000"/>
              </w:rPr>
              <w:t>上期数</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27F34" w:rsidRPr="00027F34" w:rsidRDefault="00027F34" w:rsidP="00027F34">
            <w:pPr>
              <w:adjustRightInd/>
              <w:snapToGrid/>
              <w:spacing w:after="0"/>
              <w:jc w:val="center"/>
              <w:rPr>
                <w:rFonts w:ascii="仿宋" w:eastAsia="仿宋" w:hAnsi="仿宋" w:cs="Arial"/>
                <w:color w:val="000000"/>
              </w:rPr>
            </w:pPr>
            <w:r w:rsidRPr="00027F34">
              <w:rPr>
                <w:rFonts w:ascii="仿宋" w:eastAsia="仿宋" w:hAnsi="仿宋" w:cs="Arial" w:hint="eastAsia"/>
                <w:color w:val="000000"/>
              </w:rPr>
              <w:t>本期数</w:t>
            </w:r>
          </w:p>
        </w:tc>
      </w:tr>
      <w:tr w:rsidR="00027F34" w:rsidRPr="00027F34" w:rsidTr="00027F34">
        <w:trPr>
          <w:cantSplit/>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一、营业收入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33449962.39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30521286.91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减：所得税费用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1715082.55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1915859.87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（一）利息净收入</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23430741.74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26370944.36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（一）持续经营净利润（净亏损以“-”号填列）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利息收入</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47962780.43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54425752.35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（二）终止经营净利润（净亏损以“-”号填列）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利息支出</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24532038.69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28054807.99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六、其他综合收益的税后净额</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（二）手续费及佣金净收入</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9885820.65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4132342.55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（一）不能重分类进损益的其他综合收益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手续费及佣金收入</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12511194.72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6644397.56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1.重新计量设定受益计划变动额</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手续费及佣金支出</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2625374.07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2512055.01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2.权益法下不能转损益的其他综合收益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（三）投资收益（损失以"-"号填列）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3.其他权益工具投资公允价值变动</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其中：对联营企业和合营企业的投资收益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4.企业自身信用风险公允价值变动</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以摊余成本计量的金融资产终止确认产生的收益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5.其他</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93C71">
        <w:trPr>
          <w:cantSplit/>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lastRenderedPageBreak/>
              <w:t>（四）公允价值变动收益（损失以"-"号填列）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（二）将重分类进损益的其他综合收益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（五） 汇兑收益（损失以"-"号填列）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1.权益法下可转损益的其他综合收益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（六）其他收益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133400.00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2.其他债权投资公允价值变动</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（七）其他业务收入</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18000.00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3.可供出售金融资产公允价值变动损益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（八）资产处置收益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4.金融资产重分类计入其他综合收益的金额</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二、营业支出</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25441038.00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25765480.89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5.持有至到期投资重分类为可供出售金融资产损益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（一）税金及附加</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197995.43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211290.80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6.其他债权投资信用减值准备</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（二）业务及管理费</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23643042.57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25479754.61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7.现金流量套期储备（现金流量套期损益的有效部分）</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（三）信用减值损失</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74435.48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8.外币财务报表折算差额</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（四）资产减值损失或呆账损失（转回金额以"-"号填列）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1600000.00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9.其他</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（五）其他业务成本</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七、综合收益总额</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三、营业利润（亏损以"-"号填列）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8008924.39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4755806.02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五、净利润（亏损以"-"号填列）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6347600.95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3115147.19 </w:t>
            </w:r>
          </w:p>
        </w:tc>
      </w:tr>
      <w:tr w:rsidR="00027F34" w:rsidRPr="00027F34" w:rsidTr="00027F34">
        <w:trPr>
          <w:cantSplit/>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加：营业外收入</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54759.11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285898.60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八、每股收益：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93C71">
        <w:trPr>
          <w:cantSplit/>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lastRenderedPageBreak/>
              <w:t>减：营业外支出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1000.00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10697.56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（一）基本每股收益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r w:rsidR="00027F34" w:rsidRPr="00027F34" w:rsidTr="00027F34">
        <w:trPr>
          <w:cantSplit/>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四、利润总额（亏损以"-"号填列）</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8062683.50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5031007.06 </w:t>
            </w:r>
          </w:p>
        </w:tc>
        <w:tc>
          <w:tcPr>
            <w:tcW w:w="0" w:type="auto"/>
            <w:tcBorders>
              <w:top w:val="nil"/>
              <w:left w:val="nil"/>
              <w:bottom w:val="single" w:sz="4" w:space="0" w:color="auto"/>
              <w:right w:val="single" w:sz="4" w:space="0" w:color="auto"/>
            </w:tcBorders>
            <w:shd w:val="clear" w:color="auto" w:fill="auto"/>
            <w:vAlign w:val="center"/>
            <w:hideMark/>
          </w:tcPr>
          <w:p w:rsidR="00027F34" w:rsidRPr="00027F34" w:rsidRDefault="00027F34" w:rsidP="00027F34">
            <w:pPr>
              <w:adjustRightInd/>
              <w:snapToGrid/>
              <w:spacing w:after="0"/>
              <w:rPr>
                <w:rFonts w:ascii="仿宋" w:eastAsia="仿宋" w:hAnsi="仿宋" w:cs="Arial"/>
                <w:color w:val="000000"/>
              </w:rPr>
            </w:pPr>
            <w:r w:rsidRPr="00027F34">
              <w:rPr>
                <w:rFonts w:ascii="仿宋" w:eastAsia="仿宋" w:hAnsi="仿宋" w:cs="Arial" w:hint="eastAsia"/>
                <w:color w:val="000000"/>
              </w:rPr>
              <w:t>（二）稀释每股收益</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rsidR="00027F34" w:rsidRPr="00027F34" w:rsidRDefault="00027F34" w:rsidP="00027F34">
            <w:pPr>
              <w:adjustRightInd/>
              <w:snapToGrid/>
              <w:spacing w:after="0"/>
              <w:jc w:val="right"/>
              <w:rPr>
                <w:rFonts w:ascii="仿宋" w:eastAsia="仿宋" w:hAnsi="仿宋" w:cs="Arial"/>
                <w:color w:val="000000"/>
              </w:rPr>
            </w:pPr>
            <w:r w:rsidRPr="00027F34">
              <w:rPr>
                <w:rFonts w:ascii="仿宋" w:eastAsia="仿宋" w:hAnsi="仿宋" w:cs="Arial" w:hint="eastAsia"/>
                <w:color w:val="000000"/>
              </w:rPr>
              <w:t xml:space="preserve">0.00 </w:t>
            </w:r>
          </w:p>
        </w:tc>
      </w:tr>
    </w:tbl>
    <w:p w:rsidR="00027F34" w:rsidRDefault="00027F34">
      <w:pPr>
        <w:pStyle w:val="a8"/>
        <w:spacing w:before="0" w:beforeAutospacing="0" w:after="0" w:afterAutospacing="0" w:line="600" w:lineRule="exact"/>
        <w:ind w:rightChars="-155" w:right="-341"/>
        <w:rPr>
          <w:rFonts w:ascii="仿宋" w:eastAsia="仿宋" w:hAnsi="仿宋" w:cs="Times New Roman"/>
          <w:highlight w:val="yellow"/>
        </w:rPr>
      </w:pPr>
    </w:p>
    <w:p w:rsidR="00B5421D" w:rsidRDefault="00BF1FF1">
      <w:pPr>
        <w:pStyle w:val="2"/>
        <w:spacing w:line="600" w:lineRule="exact"/>
        <w:ind w:firstLineChars="200" w:firstLine="602"/>
        <w:jc w:val="both"/>
        <w:rPr>
          <w:rFonts w:ascii="仿宋" w:eastAsia="仿宋" w:hAnsi="仿宋"/>
          <w:sz w:val="30"/>
          <w:szCs w:val="30"/>
        </w:rPr>
      </w:pPr>
      <w:r>
        <w:rPr>
          <w:rStyle w:val="a9"/>
          <w:rFonts w:ascii="Arial" w:eastAsia="仿宋" w:hAnsi="Arial" w:cs="Arial"/>
          <w:b/>
          <w:bCs/>
          <w:sz w:val="30"/>
          <w:szCs w:val="30"/>
        </w:rPr>
        <w:t>   </w:t>
      </w:r>
      <w:r>
        <w:rPr>
          <w:rStyle w:val="apple-converted-space"/>
          <w:rFonts w:ascii="Arial" w:eastAsia="仿宋" w:hAnsi="Arial" w:cs="Arial"/>
          <w:sz w:val="30"/>
          <w:szCs w:val="30"/>
        </w:rPr>
        <w:t> </w:t>
      </w:r>
      <w:bookmarkStart w:id="12" w:name="_Toc481080001"/>
      <w:r>
        <w:rPr>
          <w:rStyle w:val="a9"/>
          <w:rFonts w:ascii="仿宋" w:eastAsia="仿宋" w:hAnsi="仿宋" w:cs="Arial" w:hint="eastAsia"/>
          <w:sz w:val="30"/>
          <w:szCs w:val="30"/>
        </w:rPr>
        <w:t>二、</w:t>
      </w:r>
      <w:bookmarkEnd w:id="12"/>
      <w:r>
        <w:rPr>
          <w:rStyle w:val="a9"/>
          <w:rFonts w:ascii="仿宋" w:eastAsia="仿宋" w:hAnsi="仿宋" w:cs="Arial" w:hint="eastAsia"/>
          <w:b/>
          <w:bCs/>
          <w:sz w:val="30"/>
          <w:szCs w:val="30"/>
        </w:rPr>
        <w:t>会计报表附注</w:t>
      </w:r>
    </w:p>
    <w:p w:rsidR="00B5421D" w:rsidRDefault="00BF1FF1">
      <w:pPr>
        <w:pStyle w:val="a8"/>
        <w:spacing w:before="0" w:beforeAutospacing="0" w:after="0" w:afterAutospacing="0" w:line="600" w:lineRule="exact"/>
        <w:ind w:firstLineChars="200" w:firstLine="602"/>
        <w:jc w:val="both"/>
        <w:rPr>
          <w:rFonts w:ascii="仿宋" w:eastAsia="仿宋" w:hAnsi="仿宋"/>
          <w:sz w:val="30"/>
          <w:szCs w:val="30"/>
        </w:rPr>
      </w:pPr>
      <w:r>
        <w:rPr>
          <w:rStyle w:val="a9"/>
          <w:rFonts w:ascii="仿宋" w:eastAsia="仿宋" w:hAnsi="仿宋" w:cs="Times New Roman" w:hint="eastAsia"/>
          <w:sz w:val="30"/>
          <w:szCs w:val="30"/>
        </w:rPr>
        <w:t>（一）编制基础</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本财务报表按照企业会计准则和《金融企业会计制度》以及其他相关规定编制；本财务报表以持续经营为基础列报；本财务报表编制基础全部符合会计核算基本前提。</w:t>
      </w:r>
    </w:p>
    <w:p w:rsidR="00B5421D" w:rsidRDefault="00BF1FF1">
      <w:pPr>
        <w:pStyle w:val="a8"/>
        <w:spacing w:before="0" w:beforeAutospacing="0" w:after="0" w:afterAutospacing="0" w:line="600" w:lineRule="exact"/>
        <w:ind w:firstLineChars="200" w:firstLine="602"/>
        <w:jc w:val="both"/>
        <w:rPr>
          <w:rFonts w:ascii="仿宋" w:eastAsia="仿宋" w:hAnsi="仿宋"/>
          <w:sz w:val="30"/>
          <w:szCs w:val="30"/>
        </w:rPr>
      </w:pPr>
      <w:r>
        <w:rPr>
          <w:rStyle w:val="a9"/>
          <w:rFonts w:ascii="仿宋" w:eastAsia="仿宋" w:hAnsi="仿宋" w:cs="Times New Roman" w:hint="eastAsia"/>
          <w:sz w:val="30"/>
          <w:szCs w:val="30"/>
        </w:rPr>
        <w:t>（二）重要会计政策和会计估计</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1、会计年度。本行会计年度自公历1月1日起至12月31日止。</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2、记账本位币。本行以人民币为记账本位币。</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3、记账基础和计价原则。本行以权责发生制为基础进行会计确认、计量和报告，特别说明以历史成本为计价原则的除外。资产如果发生减值，则按照相关规定计提相应的减值准备。</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4、贷款的种类和范围。本行的贷款种类包括：抵押贷款、保证贷款、信用贷款、质押贷款；本行的贷款范围有：农、林、牧、渔业、交通运输、仓储和邮政业、批发和零售业、住宿和餐饮业、制造业、个人贷款等。</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lastRenderedPageBreak/>
        <w:t>5、投资核算方法。长期股权投资计价和收益确认方法：长期股权投资按取得时的实际成本作为初始投资成本，对被投资企业没有实际控制权的，采用成本法核算。处置长期股权投资时，将投资的账面价值与实际取得价款的差额，作为当期投资损益。</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6、计提各项资产减值准备的范围和方法。</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（1）资产减值准备提取范围。对承担风险和损失的债权和股权资产计提减值准备。</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资产减值准备中的贷款损失准备的计提范围为本行承担风险和损失的各项贷款。其他资产减值准备计提的范围为除各项贷款以外的其他风险资产。</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（2）资产减值准备提取比例及方法</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贷款损失准备按贷款风险五级分类的标准提取贷款损失准备，贷款损失准备计提比例为关注类2％、次级类25%、可疑类50%、损失类100%，对特定国家、地区或行业发放的贷款，根据的风险程度和回收可能性，分析确定各类信贷资产应计提特种准备。</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经批准核销的呆账贷款，冲销贷款损失准备金；已冲销的损失呆账贷款，以后又收回的，按已冲销的贷款损失准备金予以转回。</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7、收入确认原则和方法</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（1）利息收入。按照财政部《关于调整金融企业应收利息核算办法的通知》财金［2001］25号和《关于缩短金融企业应</w:t>
      </w:r>
      <w:r>
        <w:rPr>
          <w:rFonts w:ascii="仿宋" w:eastAsia="仿宋" w:hAnsi="仿宋" w:cs="Times New Roman" w:hint="eastAsia"/>
          <w:sz w:val="30"/>
          <w:szCs w:val="30"/>
        </w:rPr>
        <w:lastRenderedPageBreak/>
        <w:t>收利息核算期限的通知》（财金[2002]5号的规定确认和计量。发放的贷款到期（含展期，下同）90天及以上尚未收回的，其应计利息停止计入当期利息收入，纳入表外核算；其已计提的利息收入，在贷款到期90天后仍未收回的，或在应收利息逾期90天后仍未收到的，冲减原已计入损益的利息收入，转作表外核算。表外核算的应计利息，在实际收到时确认为收款期的利息收入。</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（2）中间业务收入。包括支付结算手续费收入、代理业务手续费收入等，在交易已经完成，实际收到款项时确认中间业务收入。</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（3）其他业务收入。均在实际收到款项时确认收入。</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8、衍生金融工具的计价方法。截至本财务报表批准报出日止，本行没有衍生金融工具，暂无相关计价方法。</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9、外币业务和报表折算方法。截至本财务报表批准报出日止，本行没有外币业务和报表，暂无折算方法。</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10、合并会计报表的编制方法。本行会计报表按照企业会计准则进行编制。</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11、固定资产计价和折旧方法。固定资产是指使用年限在1年（不含1年）以上，单位价值在5000元（不含5000元）以上，并在使用过程中保持原有物质形态的资产，包括房屋及建筑物、电子设备、运输设备、机器设备、办公设备及其他等。固定资产按购置或新建时的原始成本计价。固定资产折旧</w:t>
      </w:r>
      <w:r>
        <w:rPr>
          <w:rFonts w:ascii="仿宋" w:eastAsia="仿宋" w:hAnsi="仿宋" w:cs="Times New Roman" w:hint="eastAsia"/>
          <w:sz w:val="30"/>
          <w:szCs w:val="30"/>
        </w:rPr>
        <w:lastRenderedPageBreak/>
        <w:t>采用直线法计算，按原价减去5%的净残值在分类折旧年限内平均计提。固定资产的类别、分类折旧年限列示如下：</w:t>
      </w:r>
    </w:p>
    <w:tbl>
      <w:tblPr>
        <w:tblW w:w="82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36"/>
        <w:gridCol w:w="3240"/>
        <w:gridCol w:w="2670"/>
      </w:tblGrid>
      <w:tr w:rsidR="00B5421D">
        <w:trPr>
          <w:trHeight w:val="435"/>
        </w:trPr>
        <w:tc>
          <w:tcPr>
            <w:tcW w:w="2336"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sz w:val="30"/>
                <w:szCs w:val="30"/>
              </w:rPr>
            </w:pPr>
            <w:r>
              <w:rPr>
                <w:rStyle w:val="apple-converted-space"/>
                <w:rFonts w:ascii="Times New Roman" w:eastAsia="仿宋" w:hAnsi="Times New Roman" w:cs="Times New Roman"/>
                <w:sz w:val="30"/>
                <w:szCs w:val="30"/>
              </w:rPr>
              <w:t> </w:t>
            </w:r>
            <w:r>
              <w:rPr>
                <w:rFonts w:ascii="仿宋" w:eastAsia="仿宋" w:hAnsi="仿宋" w:cs="Times New Roman" w:hint="eastAsia"/>
                <w:sz w:val="30"/>
                <w:szCs w:val="30"/>
              </w:rPr>
              <w:t>固定资产类别</w:t>
            </w:r>
          </w:p>
        </w:tc>
        <w:tc>
          <w:tcPr>
            <w:tcW w:w="324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预计使用年限 （年）</w:t>
            </w:r>
          </w:p>
        </w:tc>
        <w:tc>
          <w:tcPr>
            <w:tcW w:w="267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年折旧率（%）</w:t>
            </w:r>
          </w:p>
        </w:tc>
      </w:tr>
      <w:tr w:rsidR="00B5421D">
        <w:trPr>
          <w:trHeight w:val="285"/>
        </w:trPr>
        <w:tc>
          <w:tcPr>
            <w:tcW w:w="2336"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sz w:val="30"/>
                <w:szCs w:val="30"/>
              </w:rPr>
            </w:pPr>
            <w:r>
              <w:rPr>
                <w:rFonts w:ascii="仿宋" w:eastAsia="仿宋" w:hAnsi="仿宋" w:cs="Times New Roman" w:hint="eastAsia"/>
                <w:sz w:val="30"/>
                <w:szCs w:val="30"/>
              </w:rPr>
              <w:t>房屋及建筑物</w:t>
            </w:r>
          </w:p>
        </w:tc>
        <w:tc>
          <w:tcPr>
            <w:tcW w:w="324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cs="Times New Roman" w:hint="eastAsia"/>
                <w:sz w:val="30"/>
                <w:szCs w:val="30"/>
              </w:rPr>
              <w:t>20年</w:t>
            </w:r>
          </w:p>
        </w:tc>
        <w:tc>
          <w:tcPr>
            <w:tcW w:w="267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cs="Times New Roman" w:hint="eastAsia"/>
                <w:sz w:val="30"/>
                <w:szCs w:val="30"/>
              </w:rPr>
              <w:t>4%</w:t>
            </w:r>
          </w:p>
        </w:tc>
      </w:tr>
      <w:tr w:rsidR="00B5421D">
        <w:trPr>
          <w:trHeight w:val="360"/>
        </w:trPr>
        <w:tc>
          <w:tcPr>
            <w:tcW w:w="2336"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sz w:val="30"/>
                <w:szCs w:val="30"/>
              </w:rPr>
            </w:pPr>
            <w:r>
              <w:rPr>
                <w:rStyle w:val="apple-converted-space"/>
                <w:rFonts w:ascii="Times New Roman" w:eastAsia="仿宋" w:hAnsi="Times New Roman" w:cs="Times New Roman"/>
                <w:sz w:val="30"/>
                <w:szCs w:val="30"/>
              </w:rPr>
              <w:t> </w:t>
            </w:r>
            <w:r>
              <w:rPr>
                <w:rFonts w:ascii="仿宋" w:eastAsia="仿宋" w:hAnsi="仿宋" w:cs="Times New Roman" w:hint="eastAsia"/>
                <w:sz w:val="30"/>
                <w:szCs w:val="30"/>
              </w:rPr>
              <w:t>运输工具</w:t>
            </w:r>
          </w:p>
        </w:tc>
        <w:tc>
          <w:tcPr>
            <w:tcW w:w="324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cs="Times New Roman" w:hint="eastAsia"/>
                <w:sz w:val="30"/>
                <w:szCs w:val="30"/>
              </w:rPr>
              <w:t>4年</w:t>
            </w:r>
          </w:p>
        </w:tc>
        <w:tc>
          <w:tcPr>
            <w:tcW w:w="267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cs="Times New Roman" w:hint="eastAsia"/>
                <w:sz w:val="30"/>
                <w:szCs w:val="30"/>
              </w:rPr>
              <w:t>23.75%</w:t>
            </w:r>
          </w:p>
        </w:tc>
      </w:tr>
      <w:tr w:rsidR="00B5421D">
        <w:trPr>
          <w:trHeight w:val="360"/>
        </w:trPr>
        <w:tc>
          <w:tcPr>
            <w:tcW w:w="2336"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sz w:val="30"/>
                <w:szCs w:val="30"/>
              </w:rPr>
            </w:pPr>
            <w:r>
              <w:rPr>
                <w:rFonts w:ascii="仿宋" w:eastAsia="仿宋" w:hAnsi="仿宋" w:cs="Times New Roman" w:hint="eastAsia"/>
                <w:sz w:val="30"/>
                <w:szCs w:val="30"/>
              </w:rPr>
              <w:t>办公设备及其他</w:t>
            </w:r>
          </w:p>
        </w:tc>
        <w:tc>
          <w:tcPr>
            <w:tcW w:w="324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cs="Times New Roman" w:hint="eastAsia"/>
                <w:sz w:val="30"/>
                <w:szCs w:val="30"/>
              </w:rPr>
              <w:t>3年至5年</w:t>
            </w:r>
          </w:p>
        </w:tc>
        <w:tc>
          <w:tcPr>
            <w:tcW w:w="267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31.67%至19.00%</w:t>
            </w:r>
          </w:p>
        </w:tc>
      </w:tr>
      <w:tr w:rsidR="00B5421D">
        <w:trPr>
          <w:trHeight w:val="360"/>
        </w:trPr>
        <w:tc>
          <w:tcPr>
            <w:tcW w:w="2336"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cs="Times New Roman"/>
                <w:sz w:val="30"/>
                <w:szCs w:val="30"/>
              </w:rPr>
            </w:pPr>
            <w:r>
              <w:rPr>
                <w:rFonts w:ascii="仿宋" w:eastAsia="仿宋" w:hAnsi="仿宋" w:cs="Times New Roman" w:hint="eastAsia"/>
                <w:sz w:val="30"/>
                <w:szCs w:val="30"/>
              </w:rPr>
              <w:t>电子设备</w:t>
            </w:r>
          </w:p>
        </w:tc>
        <w:tc>
          <w:tcPr>
            <w:tcW w:w="324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cs="Times New Roman"/>
                <w:sz w:val="30"/>
                <w:szCs w:val="30"/>
              </w:rPr>
            </w:pPr>
            <w:r>
              <w:rPr>
                <w:rFonts w:ascii="仿宋" w:eastAsia="仿宋" w:hAnsi="仿宋" w:cs="Times New Roman" w:hint="eastAsia"/>
                <w:sz w:val="30"/>
                <w:szCs w:val="30"/>
              </w:rPr>
              <w:t>3年</w:t>
            </w:r>
          </w:p>
        </w:tc>
        <w:tc>
          <w:tcPr>
            <w:tcW w:w="2670" w:type="dxa"/>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0"/>
              <w:jc w:val="center"/>
              <w:rPr>
                <w:rFonts w:ascii="仿宋" w:eastAsia="仿宋" w:hAnsi="仿宋" w:cs="Times New Roman"/>
                <w:sz w:val="30"/>
                <w:szCs w:val="30"/>
              </w:rPr>
            </w:pPr>
            <w:r>
              <w:rPr>
                <w:rFonts w:ascii="仿宋" w:eastAsia="仿宋" w:hAnsi="仿宋" w:cs="Times New Roman" w:hint="eastAsia"/>
                <w:sz w:val="30"/>
                <w:szCs w:val="30"/>
              </w:rPr>
              <w:t>31.67%</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12、无形资产计价及摊销政策。无形资产是指本行拥有或者控制的没有实物形态的可辨认非货币性资产，本行的无形资产为应用软件，按十年进行摊销。</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13、长期待摊费用的摊销政策。长期待摊费用是指不能全部计入当期损益，应当在以后年度分期摊销的各项费用。本行递延资产主要包括摊销期限在一年及以上的经营用监控设备款及装修款，以实际发生额核算，按预计受益期限平均摊销。</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14、所得税的会计处理方法。本行采用应付税款法核算所得税。按照当期计算的应交所得税确认为当期所得税费用。对企业所得税年度汇算清缴产生的与上一会计年度计算的应交所得税之间的差额调整汇算清缴年度的所得税费用和应交所得税。</w:t>
      </w:r>
    </w:p>
    <w:p w:rsidR="00B5421D" w:rsidRDefault="00BF1FF1">
      <w:pPr>
        <w:pStyle w:val="a8"/>
        <w:spacing w:before="0" w:beforeAutospacing="0" w:after="0" w:afterAutospacing="0" w:line="600" w:lineRule="exact"/>
        <w:ind w:firstLineChars="200" w:firstLine="602"/>
        <w:jc w:val="both"/>
        <w:rPr>
          <w:rFonts w:ascii="仿宋" w:eastAsia="仿宋" w:hAnsi="仿宋"/>
          <w:sz w:val="30"/>
          <w:szCs w:val="30"/>
          <w:highlight w:val="yellow"/>
        </w:rPr>
      </w:pPr>
      <w:r>
        <w:rPr>
          <w:rStyle w:val="a9"/>
          <w:rFonts w:ascii="仿宋" w:eastAsia="仿宋" w:hAnsi="仿宋" w:cs="Times New Roman" w:hint="eastAsia"/>
          <w:sz w:val="30"/>
          <w:szCs w:val="30"/>
        </w:rPr>
        <w:t>（三）财务报表主要项目附注</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注：除有特别说明外，以下财务报表主要项目附注的金额单位为：人民币万元</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lastRenderedPageBreak/>
        <w:t>1．同业款项</w:t>
      </w:r>
    </w:p>
    <w:tbl>
      <w:tblPr>
        <w:tblW w:w="8478" w:type="dxa"/>
        <w:jc w:val="center"/>
        <w:tblLayout w:type="fixed"/>
        <w:tblCellMar>
          <w:top w:w="15" w:type="dxa"/>
          <w:left w:w="15" w:type="dxa"/>
          <w:bottom w:w="15" w:type="dxa"/>
          <w:right w:w="15" w:type="dxa"/>
        </w:tblCellMar>
        <w:tblLook w:val="04A0"/>
      </w:tblPr>
      <w:tblGrid>
        <w:gridCol w:w="2552"/>
        <w:gridCol w:w="2669"/>
        <w:gridCol w:w="3257"/>
      </w:tblGrid>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4337EB" w:rsidRDefault="00BF1FF1">
            <w:pPr>
              <w:pStyle w:val="a8"/>
              <w:spacing w:before="0" w:beforeAutospacing="0" w:after="0" w:afterAutospacing="0" w:line="600" w:lineRule="exact"/>
              <w:jc w:val="both"/>
              <w:rPr>
                <w:rFonts w:ascii="仿宋" w:eastAsia="仿宋" w:hAnsi="仿宋"/>
              </w:rPr>
            </w:pPr>
            <w:r w:rsidRPr="004337EB">
              <w:rPr>
                <w:rFonts w:ascii="仿宋" w:eastAsia="仿宋" w:hAnsi="仿宋" w:cs="Times New Roman" w:hint="eastAsia"/>
              </w:rPr>
              <w:t>项</w:t>
            </w:r>
            <w:r w:rsidRPr="004337EB">
              <w:rPr>
                <w:rFonts w:eastAsia="仿宋" w:cs="Times New Roman" w:hint="eastAsia"/>
              </w:rPr>
              <w:t>     </w:t>
            </w:r>
            <w:r w:rsidRPr="004337EB">
              <w:rPr>
                <w:rFonts w:ascii="仿宋" w:eastAsia="仿宋" w:hAnsi="仿宋" w:cs="Times New Roman" w:hint="eastAsia"/>
              </w:rPr>
              <w:t>目</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4337EB" w:rsidRDefault="00BF1FF1" w:rsidP="004337EB">
            <w:pPr>
              <w:pStyle w:val="a8"/>
              <w:spacing w:before="0" w:beforeAutospacing="0" w:after="0" w:afterAutospacing="0" w:line="600" w:lineRule="exact"/>
              <w:jc w:val="both"/>
              <w:rPr>
                <w:rFonts w:ascii="仿宋" w:eastAsia="仿宋" w:hAnsi="仿宋"/>
              </w:rPr>
            </w:pPr>
            <w:r w:rsidRPr="004337EB">
              <w:rPr>
                <w:rFonts w:ascii="仿宋" w:eastAsia="仿宋" w:hAnsi="仿宋" w:cs="Times New Roman" w:hint="eastAsia"/>
              </w:rPr>
              <w:t>202</w:t>
            </w:r>
            <w:r w:rsidR="004337EB" w:rsidRPr="004337EB">
              <w:rPr>
                <w:rFonts w:ascii="仿宋" w:eastAsia="仿宋" w:hAnsi="仿宋" w:cs="Times New Roman" w:hint="eastAsia"/>
              </w:rPr>
              <w:t>3</w:t>
            </w:r>
            <w:r w:rsidRPr="004337EB">
              <w:rPr>
                <w:rFonts w:ascii="仿宋" w:eastAsia="仿宋" w:hAnsi="仿宋" w:cs="Times New Roman" w:hint="eastAsia"/>
              </w:rPr>
              <w:t>年12月31日</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4337EB" w:rsidRDefault="00BF1FF1" w:rsidP="004337EB">
            <w:pPr>
              <w:pStyle w:val="a8"/>
              <w:spacing w:before="0" w:beforeAutospacing="0" w:after="0" w:afterAutospacing="0" w:line="600" w:lineRule="exact"/>
              <w:ind w:firstLineChars="200" w:firstLine="480"/>
              <w:jc w:val="center"/>
              <w:rPr>
                <w:rFonts w:ascii="仿宋" w:eastAsia="仿宋" w:hAnsi="仿宋"/>
              </w:rPr>
            </w:pPr>
            <w:r w:rsidRPr="004337EB">
              <w:rPr>
                <w:rFonts w:ascii="仿宋" w:eastAsia="仿宋" w:hAnsi="仿宋" w:cs="Times New Roman" w:hint="eastAsia"/>
              </w:rPr>
              <w:t>202</w:t>
            </w:r>
            <w:r w:rsidR="004337EB" w:rsidRPr="004337EB">
              <w:rPr>
                <w:rFonts w:ascii="仿宋" w:eastAsia="仿宋" w:hAnsi="仿宋" w:cs="Times New Roman" w:hint="eastAsia"/>
              </w:rPr>
              <w:t>4</w:t>
            </w:r>
            <w:r w:rsidRPr="004337EB">
              <w:rPr>
                <w:rFonts w:ascii="仿宋" w:eastAsia="仿宋" w:hAnsi="仿宋" w:cs="Times New Roman" w:hint="eastAsia"/>
              </w:rPr>
              <w:t>年12月31日</w:t>
            </w:r>
          </w:p>
        </w:tc>
      </w:tr>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4337EB" w:rsidRDefault="00BF1FF1">
            <w:pPr>
              <w:pStyle w:val="a8"/>
              <w:spacing w:before="0" w:beforeAutospacing="0" w:after="0" w:afterAutospacing="0" w:line="600" w:lineRule="exact"/>
              <w:jc w:val="both"/>
              <w:rPr>
                <w:rFonts w:ascii="仿宋" w:eastAsia="仿宋" w:hAnsi="仿宋"/>
              </w:rPr>
            </w:pPr>
            <w:r w:rsidRPr="004337EB">
              <w:rPr>
                <w:rFonts w:ascii="仿宋" w:eastAsia="仿宋" w:hAnsi="仿宋" w:cs="Times New Roman" w:hint="eastAsia"/>
              </w:rPr>
              <w:t>存放境内同业款项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4337EB" w:rsidRDefault="004337EB">
            <w:pPr>
              <w:pStyle w:val="a8"/>
              <w:spacing w:before="0" w:beforeAutospacing="0" w:after="0" w:afterAutospacing="0"/>
              <w:jc w:val="center"/>
              <w:rPr>
                <w:rFonts w:ascii="仿宋" w:eastAsia="仿宋" w:hAnsi="仿宋"/>
              </w:rPr>
            </w:pPr>
            <w:r w:rsidRPr="004337EB">
              <w:rPr>
                <w:rFonts w:ascii="仿宋" w:eastAsia="仿宋" w:hAnsi="仿宋" w:hint="eastAsia"/>
              </w:rPr>
              <w:t>56839</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4337EB" w:rsidRDefault="004337EB">
            <w:pPr>
              <w:pStyle w:val="a8"/>
              <w:spacing w:before="0" w:beforeAutospacing="0" w:after="0" w:afterAutospacing="0"/>
              <w:jc w:val="center"/>
              <w:rPr>
                <w:rFonts w:ascii="仿宋" w:eastAsia="仿宋" w:hAnsi="仿宋"/>
              </w:rPr>
            </w:pPr>
            <w:r w:rsidRPr="004337EB">
              <w:rPr>
                <w:rFonts w:ascii="仿宋" w:eastAsia="仿宋" w:hAnsi="仿宋" w:hint="eastAsia"/>
              </w:rPr>
              <w:t>55735</w:t>
            </w:r>
          </w:p>
        </w:tc>
      </w:tr>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存放境外同业款项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r>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拆放境内同业款项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r>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拆放境外同业款项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r>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境内同业拆入款项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r>
      <w:tr w:rsidR="00B5421D">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境外同业拆入款项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c>
          <w:tcPr>
            <w:tcW w:w="3257" w:type="dxa"/>
            <w:tcBorders>
              <w:top w:val="single" w:sz="4" w:space="0" w:color="auto"/>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2．按发放贷款的担保方式分布情况分析</w:t>
      </w:r>
    </w:p>
    <w:tbl>
      <w:tblPr>
        <w:tblW w:w="8572" w:type="dxa"/>
        <w:jc w:val="center"/>
        <w:tblLayout w:type="fixed"/>
        <w:tblCellMar>
          <w:top w:w="15" w:type="dxa"/>
          <w:left w:w="15" w:type="dxa"/>
          <w:bottom w:w="15" w:type="dxa"/>
          <w:right w:w="15" w:type="dxa"/>
        </w:tblCellMar>
        <w:tblLook w:val="04A0"/>
      </w:tblPr>
      <w:tblGrid>
        <w:gridCol w:w="2000"/>
        <w:gridCol w:w="3280"/>
        <w:gridCol w:w="3292"/>
      </w:tblGrid>
      <w:tr w:rsidR="00B5421D">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项</w:t>
            </w:r>
            <w:r>
              <w:rPr>
                <w:rFonts w:eastAsia="仿宋" w:cs="Times New Roman" w:hint="eastAsia"/>
              </w:rPr>
              <w:t>   </w:t>
            </w:r>
            <w:r>
              <w:rPr>
                <w:rFonts w:ascii="仿宋" w:eastAsia="仿宋" w:hAnsi="仿宋" w:cs="Times New Roman" w:hint="eastAsia"/>
              </w:rPr>
              <w:t xml:space="preserve"> 目</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2023年12月31日</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2024年12月31日</w:t>
            </w:r>
          </w:p>
        </w:tc>
      </w:tr>
      <w:tr w:rsidR="00B5421D">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信用贷款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42756</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52110</w:t>
            </w:r>
          </w:p>
        </w:tc>
      </w:tr>
      <w:tr w:rsidR="00B5421D">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保证贷款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9209</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9179</w:t>
            </w:r>
          </w:p>
        </w:tc>
      </w:tr>
      <w:tr w:rsidR="00B5421D">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抵押贷款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417</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973</w:t>
            </w:r>
          </w:p>
        </w:tc>
      </w:tr>
      <w:tr w:rsidR="00B5421D">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质押贷款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10</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0</w:t>
            </w:r>
          </w:p>
        </w:tc>
      </w:tr>
      <w:tr w:rsidR="00B5421D">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贷款总额</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52392</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62262</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3．不良贷款</w:t>
      </w:r>
    </w:p>
    <w:tbl>
      <w:tblPr>
        <w:tblW w:w="8689" w:type="dxa"/>
        <w:jc w:val="center"/>
        <w:tblLayout w:type="fixed"/>
        <w:tblCellMar>
          <w:top w:w="15" w:type="dxa"/>
          <w:left w:w="15" w:type="dxa"/>
          <w:bottom w:w="15" w:type="dxa"/>
          <w:right w:w="15" w:type="dxa"/>
        </w:tblCellMar>
        <w:tblLook w:val="04A0"/>
      </w:tblPr>
      <w:tblGrid>
        <w:gridCol w:w="2039"/>
        <w:gridCol w:w="3300"/>
        <w:gridCol w:w="3350"/>
      </w:tblGrid>
      <w:tr w:rsidR="00B5421D">
        <w:trPr>
          <w:trHeight w:val="30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项</w:t>
            </w:r>
            <w:r>
              <w:rPr>
                <w:rFonts w:eastAsia="仿宋" w:cs="Times New Roman" w:hint="eastAsia"/>
              </w:rPr>
              <w:t>   </w:t>
            </w:r>
            <w:r>
              <w:rPr>
                <w:rFonts w:ascii="仿宋" w:eastAsia="仿宋" w:hAnsi="仿宋" w:cs="Times New Roman" w:hint="eastAsia"/>
              </w:rPr>
              <w:t xml:space="preserve"> 目</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2023年12月31日</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2024年12月31日</w:t>
            </w:r>
          </w:p>
        </w:tc>
      </w:tr>
      <w:tr w:rsidR="00B5421D">
        <w:trPr>
          <w:trHeight w:val="765"/>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不良贷款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965</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hint="eastAsia"/>
              </w:rPr>
              <w:t>924</w:t>
            </w:r>
          </w:p>
        </w:tc>
      </w:tr>
      <w:tr w:rsidR="00B5421D">
        <w:trPr>
          <w:trHeight w:val="88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rPr>
            </w:pPr>
            <w:r>
              <w:rPr>
                <w:rFonts w:ascii="仿宋" w:eastAsia="仿宋" w:hAnsi="仿宋" w:cs="Times New Roman" w:hint="eastAsia"/>
              </w:rPr>
              <w:t>其中：次级贷款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40</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42</w:t>
            </w:r>
          </w:p>
        </w:tc>
      </w:tr>
      <w:tr w:rsidR="00B5421D">
        <w:trPr>
          <w:trHeight w:val="85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rPr>
                <w:rFonts w:ascii="仿宋" w:eastAsia="仿宋" w:hAnsi="仿宋"/>
              </w:rPr>
            </w:pPr>
            <w:r>
              <w:rPr>
                <w:rFonts w:ascii="Times New Roman" w:eastAsia="仿宋" w:hAnsi="Times New Roman" w:cs="Times New Roman"/>
              </w:rPr>
              <w:t>      </w:t>
            </w:r>
            <w:r>
              <w:rPr>
                <w:rFonts w:ascii="仿宋" w:eastAsia="仿宋" w:hAnsi="仿宋" w:cs="Times New Roman" w:hint="eastAsia"/>
              </w:rPr>
              <w:t>可疑贷款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925</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hint="eastAsia"/>
              </w:rPr>
              <w:t>882</w:t>
            </w:r>
          </w:p>
        </w:tc>
      </w:tr>
      <w:tr w:rsidR="00B5421D" w:rsidTr="00260AD0">
        <w:trPr>
          <w:trHeight w:val="629"/>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损失贷款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0</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0</w:t>
            </w:r>
          </w:p>
        </w:tc>
      </w:tr>
    </w:tbl>
    <w:p w:rsidR="00B5421D" w:rsidRPr="009706EB"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9706EB">
        <w:rPr>
          <w:rFonts w:ascii="仿宋" w:eastAsia="仿宋" w:hAnsi="仿宋" w:cs="Times New Roman" w:hint="eastAsia"/>
          <w:sz w:val="30"/>
          <w:szCs w:val="30"/>
        </w:rPr>
        <w:lastRenderedPageBreak/>
        <w:t>4．贷款损失准备</w:t>
      </w:r>
    </w:p>
    <w:tbl>
      <w:tblPr>
        <w:tblW w:w="8522" w:type="dxa"/>
        <w:jc w:val="center"/>
        <w:tblLayout w:type="fixed"/>
        <w:tblCellMar>
          <w:top w:w="15" w:type="dxa"/>
          <w:left w:w="15" w:type="dxa"/>
          <w:bottom w:w="15" w:type="dxa"/>
          <w:right w:w="15" w:type="dxa"/>
        </w:tblCellMar>
        <w:tblLook w:val="04A0"/>
      </w:tblPr>
      <w:tblGrid>
        <w:gridCol w:w="2755"/>
        <w:gridCol w:w="2812"/>
        <w:gridCol w:w="2955"/>
      </w:tblGrid>
      <w:tr w:rsidR="00B5421D"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9706EB" w:rsidRDefault="00BF1FF1">
            <w:pPr>
              <w:pStyle w:val="a8"/>
              <w:spacing w:before="0" w:beforeAutospacing="0" w:after="0" w:afterAutospacing="0" w:line="600" w:lineRule="exact"/>
              <w:ind w:firstLineChars="200" w:firstLine="480"/>
              <w:jc w:val="center"/>
              <w:rPr>
                <w:rFonts w:ascii="仿宋" w:eastAsia="仿宋" w:hAnsi="仿宋"/>
              </w:rPr>
            </w:pPr>
            <w:r w:rsidRPr="009706EB">
              <w:rPr>
                <w:rFonts w:ascii="仿宋" w:eastAsia="仿宋" w:hAnsi="仿宋" w:cs="Times New Roman" w:hint="eastAsia"/>
              </w:rPr>
              <w:t>项</w:t>
            </w:r>
            <w:r w:rsidRPr="009706EB">
              <w:rPr>
                <w:rFonts w:eastAsia="仿宋" w:cs="Times New Roman" w:hint="eastAsia"/>
              </w:rPr>
              <w:t>   </w:t>
            </w:r>
            <w:r w:rsidRPr="009706EB">
              <w:rPr>
                <w:rFonts w:ascii="仿宋" w:eastAsia="仿宋" w:hAnsi="仿宋" w:cs="Times New Roman" w:hint="eastAsia"/>
              </w:rPr>
              <w:t xml:space="preserve"> 目</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9706EB" w:rsidRDefault="00BF1FF1" w:rsidP="009706EB">
            <w:pPr>
              <w:pStyle w:val="a8"/>
              <w:spacing w:before="0" w:beforeAutospacing="0" w:after="0" w:afterAutospacing="0" w:line="600" w:lineRule="exact"/>
              <w:ind w:firstLineChars="200" w:firstLine="480"/>
              <w:jc w:val="center"/>
              <w:rPr>
                <w:rFonts w:ascii="仿宋" w:eastAsia="仿宋" w:hAnsi="仿宋"/>
              </w:rPr>
            </w:pPr>
            <w:r w:rsidRPr="009706EB">
              <w:rPr>
                <w:rFonts w:ascii="仿宋" w:eastAsia="仿宋" w:hAnsi="仿宋" w:cs="Times New Roman" w:hint="eastAsia"/>
              </w:rPr>
              <w:t>202</w:t>
            </w:r>
            <w:r w:rsidR="009706EB" w:rsidRPr="009706EB">
              <w:rPr>
                <w:rFonts w:ascii="仿宋" w:eastAsia="仿宋" w:hAnsi="仿宋" w:cs="Times New Roman" w:hint="eastAsia"/>
              </w:rPr>
              <w:t>3</w:t>
            </w:r>
            <w:r w:rsidRPr="009706EB">
              <w:rPr>
                <w:rFonts w:ascii="仿宋" w:eastAsia="仿宋" w:hAnsi="仿宋" w:cs="Times New Roman" w:hint="eastAsia"/>
              </w:rPr>
              <w:t>年12月31日</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9706EB" w:rsidRDefault="00BF1FF1" w:rsidP="009706EB">
            <w:pPr>
              <w:pStyle w:val="a8"/>
              <w:spacing w:before="0" w:beforeAutospacing="0" w:after="0" w:afterAutospacing="0" w:line="600" w:lineRule="exact"/>
              <w:ind w:firstLineChars="200" w:firstLine="480"/>
              <w:jc w:val="center"/>
              <w:rPr>
                <w:rFonts w:ascii="仿宋" w:eastAsia="仿宋" w:hAnsi="仿宋"/>
              </w:rPr>
            </w:pPr>
            <w:r w:rsidRPr="009706EB">
              <w:rPr>
                <w:rFonts w:ascii="仿宋" w:eastAsia="仿宋" w:hAnsi="仿宋" w:cs="Times New Roman" w:hint="eastAsia"/>
              </w:rPr>
              <w:t>202</w:t>
            </w:r>
            <w:r w:rsidR="009706EB" w:rsidRPr="009706EB">
              <w:rPr>
                <w:rFonts w:ascii="仿宋" w:eastAsia="仿宋" w:hAnsi="仿宋" w:cs="Times New Roman" w:hint="eastAsia"/>
              </w:rPr>
              <w:t>4</w:t>
            </w:r>
            <w:r w:rsidRPr="009706EB">
              <w:rPr>
                <w:rFonts w:ascii="仿宋" w:eastAsia="仿宋" w:hAnsi="仿宋" w:cs="Times New Roman" w:hint="eastAsia"/>
              </w:rPr>
              <w:t>年12月31日</w:t>
            </w:r>
          </w:p>
        </w:tc>
      </w:tr>
      <w:tr w:rsidR="009706EB"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rPr>
                <w:rFonts w:ascii="仿宋" w:eastAsia="仿宋" w:hAnsi="仿宋"/>
              </w:rPr>
            </w:pPr>
            <w:r w:rsidRPr="009706EB">
              <w:rPr>
                <w:rFonts w:ascii="仿宋" w:eastAsia="仿宋" w:hAnsi="仿宋" w:cs="Times New Roman" w:hint="eastAsia"/>
              </w:rPr>
              <w:t>年初余额</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hint="eastAsia"/>
              </w:rPr>
              <w:t>2000</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hint="eastAsia"/>
              </w:rPr>
              <w:t>2000</w:t>
            </w:r>
          </w:p>
        </w:tc>
      </w:tr>
      <w:tr w:rsidR="009706EB"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rPr>
                <w:rFonts w:ascii="仿宋" w:eastAsia="仿宋" w:hAnsi="仿宋"/>
              </w:rPr>
            </w:pPr>
            <w:r w:rsidRPr="009706EB">
              <w:rPr>
                <w:rFonts w:ascii="仿宋" w:eastAsia="仿宋" w:hAnsi="仿宋" w:cs="Times New Roman" w:hint="eastAsia"/>
              </w:rPr>
              <w:t>其中：一般准备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hint="eastAsia"/>
              </w:rPr>
              <w:t>0</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hint="eastAsia"/>
              </w:rPr>
              <w:t>0</w:t>
            </w:r>
          </w:p>
        </w:tc>
      </w:tr>
      <w:tr w:rsidR="009706EB"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rPr>
                <w:rFonts w:ascii="仿宋" w:eastAsia="仿宋" w:hAnsi="仿宋"/>
              </w:rPr>
            </w:pPr>
            <w:r w:rsidRPr="009706EB">
              <w:rPr>
                <w:rFonts w:ascii="Times New Roman" w:eastAsia="仿宋" w:hAnsi="Times New Roman" w:cs="Times New Roman"/>
              </w:rPr>
              <w:t>     </w:t>
            </w:r>
            <w:r w:rsidRPr="009706EB">
              <w:rPr>
                <w:rStyle w:val="apple-converted-space"/>
                <w:rFonts w:ascii="Times New Roman" w:eastAsia="仿宋" w:hAnsi="Times New Roman" w:cs="Times New Roman"/>
              </w:rPr>
              <w:t> </w:t>
            </w:r>
            <w:r w:rsidRPr="009706EB">
              <w:rPr>
                <w:rFonts w:ascii="仿宋" w:eastAsia="仿宋" w:hAnsi="仿宋" w:cs="Times New Roman" w:hint="eastAsia"/>
              </w:rPr>
              <w:t>专项准备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hint="eastAsia"/>
              </w:rPr>
              <w:t>0</w:t>
            </w:r>
          </w:p>
        </w:tc>
        <w:tc>
          <w:tcPr>
            <w:tcW w:w="295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hint="eastAsia"/>
              </w:rPr>
              <w:t>0</w:t>
            </w:r>
          </w:p>
        </w:tc>
      </w:tr>
      <w:tr w:rsidR="009706EB"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rPr>
                <w:rFonts w:ascii="仿宋" w:eastAsia="仿宋" w:hAnsi="仿宋"/>
              </w:rPr>
            </w:pPr>
            <w:r w:rsidRPr="009706EB">
              <w:rPr>
                <w:rFonts w:ascii="Times New Roman" w:eastAsia="仿宋" w:hAnsi="Times New Roman" w:cs="Times New Roman"/>
              </w:rPr>
              <w:t>     </w:t>
            </w:r>
            <w:r w:rsidRPr="009706EB">
              <w:rPr>
                <w:rStyle w:val="apple-converted-space"/>
                <w:rFonts w:ascii="Times New Roman" w:eastAsia="仿宋" w:hAnsi="Times New Roman" w:cs="Times New Roman"/>
              </w:rPr>
              <w:t> </w:t>
            </w:r>
            <w:r w:rsidRPr="009706EB">
              <w:rPr>
                <w:rFonts w:ascii="仿宋" w:eastAsia="仿宋" w:hAnsi="仿宋" w:cs="Times New Roman" w:hint="eastAsia"/>
              </w:rPr>
              <w:t>特种准备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cs="Times New Roman" w:hint="eastAsia"/>
              </w:rPr>
              <w:t>0</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cs="Times New Roman" w:hint="eastAsia"/>
              </w:rPr>
              <w:t>0</w:t>
            </w:r>
          </w:p>
        </w:tc>
      </w:tr>
      <w:tr w:rsidR="009706EB" w:rsidRPr="009706EB">
        <w:trPr>
          <w:trHeight w:val="336"/>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jc w:val="both"/>
              <w:rPr>
                <w:rFonts w:ascii="仿宋" w:eastAsia="仿宋" w:hAnsi="仿宋"/>
              </w:rPr>
            </w:pPr>
            <w:r w:rsidRPr="009706EB">
              <w:rPr>
                <w:rFonts w:ascii="仿宋" w:eastAsia="仿宋" w:hAnsi="仿宋" w:cs="Times New Roman" w:hint="eastAsia"/>
              </w:rPr>
              <w:t>本年计提（一般准备）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hint="eastAsia"/>
              </w:rPr>
              <w:t>0</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hint="eastAsia"/>
              </w:rPr>
              <w:t>0</w:t>
            </w:r>
          </w:p>
        </w:tc>
      </w:tr>
      <w:tr w:rsidR="009706EB" w:rsidRPr="009706EB">
        <w:trPr>
          <w:trHeight w:val="42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jc w:val="both"/>
              <w:rPr>
                <w:rFonts w:ascii="仿宋" w:eastAsia="仿宋" w:hAnsi="仿宋"/>
              </w:rPr>
            </w:pPr>
            <w:r w:rsidRPr="009706EB">
              <w:rPr>
                <w:rFonts w:ascii="仿宋" w:eastAsia="仿宋" w:hAnsi="仿宋" w:cs="Times New Roman" w:hint="eastAsia"/>
              </w:rPr>
              <w:t>本年计提（专项准备）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hint="eastAsia"/>
              </w:rPr>
              <w:t>0</w:t>
            </w:r>
          </w:p>
        </w:tc>
        <w:tc>
          <w:tcPr>
            <w:tcW w:w="2955" w:type="dxa"/>
            <w:tcBorders>
              <w:top w:val="single" w:sz="4" w:space="0" w:color="auto"/>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hint="eastAsia"/>
              </w:rPr>
              <w:t>0</w:t>
            </w:r>
          </w:p>
        </w:tc>
      </w:tr>
      <w:tr w:rsidR="009706EB"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jc w:val="center"/>
              <w:rPr>
                <w:rFonts w:ascii="仿宋" w:eastAsia="仿宋" w:hAnsi="仿宋"/>
              </w:rPr>
            </w:pPr>
            <w:r w:rsidRPr="009706EB">
              <w:rPr>
                <w:rFonts w:ascii="仿宋" w:eastAsia="仿宋" w:hAnsi="仿宋" w:cs="Times New Roman" w:hint="eastAsia"/>
              </w:rPr>
              <w:t>本年核销</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cs="Times New Roman" w:hint="eastAsia"/>
              </w:rPr>
              <w:t>0</w:t>
            </w:r>
          </w:p>
        </w:tc>
        <w:tc>
          <w:tcPr>
            <w:tcW w:w="2955" w:type="dxa"/>
            <w:tcBorders>
              <w:top w:val="nil"/>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cs="Times New Roman" w:hint="eastAsia"/>
              </w:rPr>
              <w:t>0</w:t>
            </w:r>
          </w:p>
        </w:tc>
      </w:tr>
      <w:tr w:rsidR="009706EB" w:rsidRP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jc w:val="center"/>
              <w:rPr>
                <w:rFonts w:ascii="仿宋" w:eastAsia="仿宋" w:hAnsi="仿宋"/>
              </w:rPr>
            </w:pPr>
            <w:r w:rsidRPr="009706EB">
              <w:rPr>
                <w:rFonts w:ascii="仿宋" w:eastAsia="仿宋" w:hAnsi="仿宋" w:cs="Times New Roman" w:hint="eastAsia"/>
              </w:rPr>
              <w:t>本年转回</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cs="Times New Roman" w:hint="eastAsia"/>
              </w:rPr>
              <w:t>0</w:t>
            </w:r>
          </w:p>
        </w:tc>
        <w:tc>
          <w:tcPr>
            <w:tcW w:w="2955" w:type="dxa"/>
            <w:tcBorders>
              <w:top w:val="nil"/>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cs="Times New Roman" w:hint="eastAsia"/>
              </w:rPr>
              <w:t>0</w:t>
            </w:r>
          </w:p>
        </w:tc>
      </w:tr>
      <w:tr w:rsidR="009706EB">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line="600" w:lineRule="exact"/>
              <w:ind w:firstLineChars="200" w:firstLine="480"/>
              <w:jc w:val="center"/>
              <w:rPr>
                <w:rFonts w:ascii="仿宋" w:eastAsia="仿宋" w:hAnsi="仿宋"/>
              </w:rPr>
            </w:pPr>
            <w:r w:rsidRPr="009706EB">
              <w:rPr>
                <w:rFonts w:ascii="仿宋" w:eastAsia="仿宋" w:hAnsi="仿宋" w:cs="Times New Roman" w:hint="eastAsia"/>
              </w:rPr>
              <w:t>年末余额</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06EB" w:rsidRPr="009706EB" w:rsidRDefault="009706EB" w:rsidP="00260AD0">
            <w:pPr>
              <w:pStyle w:val="a8"/>
              <w:spacing w:before="0" w:beforeAutospacing="0" w:after="0" w:afterAutospacing="0"/>
              <w:jc w:val="center"/>
              <w:rPr>
                <w:rFonts w:ascii="仿宋" w:eastAsia="仿宋" w:hAnsi="仿宋"/>
              </w:rPr>
            </w:pPr>
            <w:r w:rsidRPr="009706EB">
              <w:rPr>
                <w:rFonts w:ascii="仿宋" w:eastAsia="仿宋" w:hAnsi="仿宋" w:hint="eastAsia"/>
              </w:rPr>
              <w:t>2000</w:t>
            </w:r>
          </w:p>
        </w:tc>
        <w:tc>
          <w:tcPr>
            <w:tcW w:w="2955" w:type="dxa"/>
            <w:tcBorders>
              <w:top w:val="nil"/>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9706EB" w:rsidRPr="009706EB" w:rsidRDefault="009706EB">
            <w:pPr>
              <w:pStyle w:val="a8"/>
              <w:spacing w:before="0" w:beforeAutospacing="0" w:after="0" w:afterAutospacing="0"/>
              <w:jc w:val="center"/>
              <w:rPr>
                <w:rFonts w:ascii="仿宋" w:eastAsia="仿宋" w:hAnsi="仿宋"/>
              </w:rPr>
            </w:pPr>
            <w:r w:rsidRPr="009706EB">
              <w:rPr>
                <w:rFonts w:ascii="仿宋" w:eastAsia="仿宋" w:hAnsi="仿宋" w:hint="eastAsia"/>
              </w:rPr>
              <w:t>2000</w:t>
            </w:r>
          </w:p>
        </w:tc>
      </w:tr>
    </w:tbl>
    <w:p w:rsidR="00B5421D" w:rsidRPr="0014452C"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14452C">
        <w:rPr>
          <w:rFonts w:ascii="仿宋" w:eastAsia="仿宋" w:hAnsi="仿宋" w:cs="Times New Roman" w:hint="eastAsia"/>
          <w:sz w:val="30"/>
          <w:szCs w:val="30"/>
        </w:rPr>
        <w:t>5．应收、应付利息</w:t>
      </w:r>
    </w:p>
    <w:tbl>
      <w:tblPr>
        <w:tblW w:w="8808" w:type="dxa"/>
        <w:jc w:val="center"/>
        <w:tblLayout w:type="fixed"/>
        <w:tblCellMar>
          <w:top w:w="15" w:type="dxa"/>
          <w:left w:w="15" w:type="dxa"/>
          <w:bottom w:w="15" w:type="dxa"/>
          <w:right w:w="15" w:type="dxa"/>
        </w:tblCellMar>
        <w:tblLook w:val="04A0"/>
      </w:tblPr>
      <w:tblGrid>
        <w:gridCol w:w="2148"/>
        <w:gridCol w:w="1560"/>
        <w:gridCol w:w="1560"/>
        <w:gridCol w:w="1560"/>
        <w:gridCol w:w="1980"/>
      </w:tblGrid>
      <w:tr w:rsidR="00B5421D" w:rsidRPr="0014452C">
        <w:trPr>
          <w:trHeight w:val="240"/>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14452C" w:rsidRDefault="00BF1FF1">
            <w:pPr>
              <w:pStyle w:val="a8"/>
              <w:spacing w:before="0" w:beforeAutospacing="0" w:after="0" w:afterAutospacing="0" w:line="600" w:lineRule="exact"/>
              <w:ind w:firstLineChars="200" w:firstLine="480"/>
              <w:rPr>
                <w:rFonts w:ascii="仿宋" w:eastAsia="仿宋" w:hAnsi="仿宋"/>
              </w:rPr>
            </w:pPr>
            <w:r w:rsidRPr="0014452C">
              <w:rPr>
                <w:rFonts w:ascii="仿宋" w:eastAsia="仿宋" w:hAnsi="仿宋" w:cs="Times New Roman" w:hint="eastAsia"/>
              </w:rPr>
              <w:t>项</w:t>
            </w:r>
            <w:r w:rsidRPr="0014452C">
              <w:rPr>
                <w:rFonts w:eastAsia="仿宋" w:cs="Times New Roman" w:hint="eastAsia"/>
              </w:rPr>
              <w:t>   </w:t>
            </w:r>
            <w:r w:rsidRPr="0014452C">
              <w:rPr>
                <w:rFonts w:ascii="仿宋" w:eastAsia="仿宋" w:hAnsi="仿宋" w:cs="Times New Roman" w:hint="eastAsia"/>
              </w:rPr>
              <w:t>目</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14452C" w:rsidRDefault="00BF1FF1">
            <w:pPr>
              <w:pStyle w:val="a8"/>
              <w:spacing w:before="0" w:beforeAutospacing="0" w:after="0" w:afterAutospacing="0" w:line="600" w:lineRule="exact"/>
              <w:ind w:firstLineChars="100" w:firstLine="240"/>
              <w:jc w:val="both"/>
              <w:rPr>
                <w:rFonts w:ascii="仿宋" w:eastAsia="仿宋" w:hAnsi="仿宋"/>
              </w:rPr>
            </w:pPr>
            <w:r w:rsidRPr="0014452C">
              <w:rPr>
                <w:rFonts w:ascii="仿宋" w:eastAsia="仿宋" w:hAnsi="仿宋" w:cs="Times New Roman" w:hint="eastAsia"/>
              </w:rPr>
              <w:t>年初余额</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14452C" w:rsidRDefault="00BF1FF1">
            <w:pPr>
              <w:pStyle w:val="a8"/>
              <w:spacing w:before="0" w:beforeAutospacing="0" w:after="0" w:afterAutospacing="0" w:line="600" w:lineRule="exact"/>
              <w:ind w:firstLineChars="100" w:firstLine="240"/>
              <w:jc w:val="both"/>
              <w:rPr>
                <w:rFonts w:ascii="仿宋" w:eastAsia="仿宋" w:hAnsi="仿宋"/>
              </w:rPr>
            </w:pPr>
            <w:r w:rsidRPr="0014452C">
              <w:rPr>
                <w:rFonts w:ascii="仿宋" w:eastAsia="仿宋" w:hAnsi="仿宋" w:cs="Times New Roman" w:hint="eastAsia"/>
              </w:rPr>
              <w:t>本期增加</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14452C" w:rsidRDefault="00BF1FF1">
            <w:pPr>
              <w:pStyle w:val="a8"/>
              <w:spacing w:before="0" w:beforeAutospacing="0" w:after="0" w:afterAutospacing="0" w:line="600" w:lineRule="exact"/>
              <w:ind w:firstLineChars="100" w:firstLine="240"/>
              <w:jc w:val="both"/>
              <w:rPr>
                <w:rFonts w:ascii="仿宋" w:eastAsia="仿宋" w:hAnsi="仿宋"/>
              </w:rPr>
            </w:pPr>
            <w:r w:rsidRPr="0014452C">
              <w:rPr>
                <w:rFonts w:ascii="仿宋" w:eastAsia="仿宋" w:hAnsi="仿宋" w:cs="Times New Roman" w:hint="eastAsia"/>
              </w:rPr>
              <w:t>本期减少</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5421D" w:rsidRPr="0014452C" w:rsidRDefault="00BF1FF1">
            <w:pPr>
              <w:pStyle w:val="a8"/>
              <w:spacing w:before="0" w:beforeAutospacing="0" w:after="0" w:afterAutospacing="0" w:line="600" w:lineRule="exact"/>
              <w:ind w:firstLineChars="200" w:firstLine="480"/>
              <w:jc w:val="both"/>
              <w:rPr>
                <w:rFonts w:ascii="仿宋" w:eastAsia="仿宋" w:hAnsi="仿宋"/>
              </w:rPr>
            </w:pPr>
            <w:r w:rsidRPr="0014452C">
              <w:rPr>
                <w:rFonts w:ascii="仿宋" w:eastAsia="仿宋" w:hAnsi="仿宋" w:cs="Times New Roman" w:hint="eastAsia"/>
              </w:rPr>
              <w:t>年未余额</w:t>
            </w:r>
          </w:p>
        </w:tc>
      </w:tr>
      <w:tr w:rsidR="00D860DA" w:rsidRPr="0014452C">
        <w:trPr>
          <w:trHeight w:val="240"/>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pPr>
              <w:pStyle w:val="a8"/>
              <w:spacing w:before="0" w:beforeAutospacing="0" w:after="0" w:afterAutospacing="0" w:line="600" w:lineRule="exact"/>
              <w:ind w:firstLineChars="200" w:firstLine="480"/>
              <w:jc w:val="center"/>
              <w:rPr>
                <w:rFonts w:ascii="仿宋" w:eastAsia="仿宋" w:hAnsi="仿宋"/>
              </w:rPr>
            </w:pPr>
            <w:r w:rsidRPr="0014452C">
              <w:rPr>
                <w:rFonts w:ascii="仿宋" w:eastAsia="仿宋" w:hAnsi="仿宋" w:cs="Times New Roman" w:hint="eastAsia"/>
              </w:rPr>
              <w:t>应收利息合计</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rsidP="00260AD0">
            <w:pPr>
              <w:pStyle w:val="a8"/>
              <w:spacing w:before="0" w:beforeAutospacing="0" w:after="0" w:afterAutospacing="0"/>
              <w:jc w:val="center"/>
              <w:rPr>
                <w:rFonts w:ascii="仿宋" w:eastAsia="仿宋" w:hAnsi="仿宋"/>
              </w:rPr>
            </w:pPr>
            <w:r w:rsidRPr="0014452C">
              <w:rPr>
                <w:rFonts w:ascii="仿宋" w:eastAsia="仿宋" w:hAnsi="仿宋" w:hint="eastAsia"/>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rsidP="00D860DA">
            <w:pPr>
              <w:pStyle w:val="a8"/>
              <w:spacing w:before="0" w:beforeAutospacing="0" w:after="0" w:afterAutospacing="0"/>
              <w:jc w:val="center"/>
              <w:rPr>
                <w:rFonts w:ascii="仿宋" w:eastAsia="仿宋" w:hAnsi="仿宋"/>
              </w:rPr>
            </w:pPr>
            <w:r w:rsidRPr="0014452C">
              <w:rPr>
                <w:rFonts w:ascii="仿宋" w:eastAsia="仿宋" w:hAnsi="仿宋" w:hint="eastAsia"/>
              </w:rPr>
              <w:t>1333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pPr>
              <w:pStyle w:val="a8"/>
              <w:spacing w:before="0" w:beforeAutospacing="0" w:after="0" w:afterAutospacing="0"/>
              <w:jc w:val="center"/>
              <w:rPr>
                <w:rFonts w:ascii="仿宋" w:eastAsia="仿宋" w:hAnsi="仿宋"/>
              </w:rPr>
            </w:pPr>
            <w:r w:rsidRPr="0014452C">
              <w:rPr>
                <w:rFonts w:ascii="仿宋" w:eastAsia="仿宋" w:hAnsi="仿宋" w:hint="eastAsia"/>
              </w:rPr>
              <w:t>1285</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pPr>
              <w:pStyle w:val="a8"/>
              <w:spacing w:before="0" w:beforeAutospacing="0" w:after="0" w:afterAutospacing="0"/>
              <w:jc w:val="center"/>
              <w:rPr>
                <w:rFonts w:ascii="仿宋" w:eastAsia="仿宋" w:hAnsi="仿宋"/>
              </w:rPr>
            </w:pPr>
            <w:r w:rsidRPr="0014452C">
              <w:rPr>
                <w:rFonts w:ascii="仿宋" w:eastAsia="仿宋" w:hAnsi="仿宋" w:hint="eastAsia"/>
              </w:rPr>
              <w:t>51</w:t>
            </w:r>
          </w:p>
        </w:tc>
      </w:tr>
      <w:tr w:rsidR="00D860DA">
        <w:trPr>
          <w:trHeight w:val="240"/>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pPr>
              <w:pStyle w:val="a8"/>
              <w:spacing w:before="0" w:beforeAutospacing="0" w:after="0" w:afterAutospacing="0" w:line="600" w:lineRule="exact"/>
              <w:ind w:firstLineChars="200" w:firstLine="480"/>
              <w:jc w:val="center"/>
              <w:rPr>
                <w:rFonts w:ascii="仿宋" w:eastAsia="仿宋" w:hAnsi="仿宋"/>
              </w:rPr>
            </w:pPr>
            <w:r w:rsidRPr="0014452C">
              <w:rPr>
                <w:rFonts w:ascii="仿宋" w:eastAsia="仿宋" w:hAnsi="仿宋" w:cs="Times New Roman" w:hint="eastAsia"/>
              </w:rPr>
              <w:t>应付利息合计</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rsidP="00260AD0">
            <w:pPr>
              <w:pStyle w:val="a8"/>
              <w:spacing w:before="0" w:beforeAutospacing="0" w:after="0" w:afterAutospacing="0"/>
              <w:jc w:val="center"/>
              <w:rPr>
                <w:rFonts w:ascii="仿宋" w:eastAsia="仿宋" w:hAnsi="仿宋"/>
              </w:rPr>
            </w:pPr>
            <w:r w:rsidRPr="0014452C">
              <w:rPr>
                <w:rFonts w:ascii="仿宋" w:eastAsia="仿宋" w:hAnsi="仿宋" w:hint="eastAsia"/>
              </w:rPr>
              <w:t>3440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pPr>
              <w:pStyle w:val="a8"/>
              <w:spacing w:before="0" w:beforeAutospacing="0" w:after="0" w:afterAutospacing="0"/>
              <w:jc w:val="center"/>
              <w:rPr>
                <w:rFonts w:ascii="仿宋" w:eastAsia="仿宋" w:hAnsi="仿宋"/>
              </w:rPr>
            </w:pPr>
            <w:r w:rsidRPr="0014452C">
              <w:rPr>
                <w:rFonts w:ascii="仿宋" w:eastAsia="仿宋" w:hAnsi="仿宋" w:hint="eastAsia"/>
              </w:rPr>
              <w:t>2775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Pr="0014452C" w:rsidRDefault="00D860DA">
            <w:pPr>
              <w:pStyle w:val="a8"/>
              <w:spacing w:before="0" w:beforeAutospacing="0" w:after="0" w:afterAutospacing="0"/>
              <w:jc w:val="center"/>
              <w:rPr>
                <w:rFonts w:ascii="仿宋" w:eastAsia="仿宋" w:hAnsi="仿宋"/>
              </w:rPr>
            </w:pPr>
            <w:r w:rsidRPr="0014452C">
              <w:rPr>
                <w:rFonts w:ascii="仿宋" w:eastAsia="仿宋" w:hAnsi="仿宋" w:hint="eastAsia"/>
              </w:rPr>
              <w:t>1731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860DA" w:rsidRDefault="00D860DA">
            <w:pPr>
              <w:pStyle w:val="a8"/>
              <w:spacing w:before="0" w:beforeAutospacing="0" w:after="0" w:afterAutospacing="0"/>
              <w:jc w:val="center"/>
              <w:rPr>
                <w:rFonts w:ascii="仿宋" w:eastAsia="仿宋" w:hAnsi="仿宋"/>
              </w:rPr>
            </w:pPr>
            <w:r w:rsidRPr="0014452C">
              <w:rPr>
                <w:rFonts w:ascii="仿宋" w:eastAsia="仿宋" w:hAnsi="仿宋" w:hint="eastAsia"/>
              </w:rPr>
              <w:t>4484</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应付利息计提方法：按企业会计准则进行计提。</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6．投资情况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报告期内，本行没有对外投资情况，余额为0。</w:t>
      </w:r>
    </w:p>
    <w:p w:rsidR="00B5421D" w:rsidRPr="0092725D"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92725D">
        <w:rPr>
          <w:rFonts w:ascii="仿宋" w:eastAsia="仿宋" w:hAnsi="仿宋" w:cs="Times New Roman" w:hint="eastAsia"/>
          <w:sz w:val="30"/>
          <w:szCs w:val="30"/>
        </w:rPr>
        <w:t>7．资本充足状况</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59"/>
        <w:gridCol w:w="3739"/>
      </w:tblGrid>
      <w:tr w:rsidR="00B5421D" w:rsidRPr="0092725D">
        <w:trPr>
          <w:trHeight w:val="398"/>
          <w:jc w:val="center"/>
        </w:trPr>
        <w:tc>
          <w:tcPr>
            <w:tcW w:w="5159" w:type="dxa"/>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jc w:val="center"/>
              <w:rPr>
                <w:rFonts w:ascii="仿宋" w:eastAsia="仿宋" w:hAnsi="仿宋"/>
              </w:rPr>
            </w:pPr>
            <w:r w:rsidRPr="0092725D">
              <w:rPr>
                <w:rFonts w:ascii="仿宋" w:eastAsia="仿宋" w:hAnsi="仿宋" w:cs="Times New Roman" w:hint="eastAsia"/>
              </w:rPr>
              <w:t>项目/结构</w:t>
            </w:r>
          </w:p>
        </w:tc>
        <w:tc>
          <w:tcPr>
            <w:tcW w:w="3739" w:type="dxa"/>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jc w:val="center"/>
              <w:rPr>
                <w:rFonts w:ascii="仿宋" w:eastAsia="仿宋" w:hAnsi="仿宋"/>
              </w:rPr>
            </w:pPr>
            <w:r w:rsidRPr="0092725D">
              <w:rPr>
                <w:rFonts w:ascii="仿宋" w:eastAsia="仿宋" w:hAnsi="仿宋" w:cs="Times New Roman" w:hint="eastAsia"/>
              </w:rPr>
              <w:t>余额</w:t>
            </w:r>
          </w:p>
        </w:tc>
      </w:tr>
      <w:tr w:rsidR="00B5421D" w:rsidRPr="0092725D">
        <w:trPr>
          <w:trHeight w:val="158"/>
          <w:jc w:val="center"/>
        </w:trPr>
        <w:tc>
          <w:tcPr>
            <w:tcW w:w="5159" w:type="dxa"/>
            <w:shd w:val="clear" w:color="auto" w:fill="FFFFFF"/>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rPr>
                <w:rFonts w:ascii="仿宋" w:eastAsia="仿宋" w:hAnsi="仿宋"/>
              </w:rPr>
            </w:pPr>
            <w:r w:rsidRPr="0092725D">
              <w:rPr>
                <w:rFonts w:ascii="仿宋" w:eastAsia="仿宋" w:hAnsi="仿宋" w:cs="Times New Roman" w:hint="eastAsia"/>
              </w:rPr>
              <w:t>一、资本净额</w:t>
            </w:r>
          </w:p>
        </w:tc>
        <w:tc>
          <w:tcPr>
            <w:tcW w:w="3739" w:type="dxa"/>
            <w:shd w:val="clear" w:color="auto" w:fill="FFFFFF"/>
            <w:tcMar>
              <w:top w:w="0" w:type="dxa"/>
              <w:left w:w="108" w:type="dxa"/>
              <w:bottom w:w="0" w:type="dxa"/>
              <w:right w:w="108" w:type="dxa"/>
            </w:tcMar>
            <w:vAlign w:val="center"/>
          </w:tcPr>
          <w:p w:rsidR="00B5421D" w:rsidRPr="0092725D" w:rsidRDefault="0092725D">
            <w:pPr>
              <w:pStyle w:val="a8"/>
              <w:spacing w:before="0" w:beforeAutospacing="0" w:after="0" w:afterAutospacing="0"/>
              <w:jc w:val="center"/>
              <w:rPr>
                <w:rFonts w:ascii="仿宋" w:eastAsia="仿宋" w:hAnsi="仿宋"/>
              </w:rPr>
            </w:pPr>
            <w:r>
              <w:rPr>
                <w:rFonts w:ascii="仿宋" w:eastAsia="仿宋" w:hAnsi="仿宋" w:hint="eastAsia"/>
              </w:rPr>
              <w:t>8876</w:t>
            </w:r>
          </w:p>
        </w:tc>
      </w:tr>
      <w:tr w:rsidR="00B5421D" w:rsidRPr="0092725D">
        <w:trPr>
          <w:trHeight w:val="310"/>
          <w:jc w:val="center"/>
        </w:trPr>
        <w:tc>
          <w:tcPr>
            <w:tcW w:w="5159" w:type="dxa"/>
            <w:shd w:val="clear" w:color="auto" w:fill="FFFFFF"/>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rPr>
                <w:rFonts w:ascii="仿宋" w:eastAsia="仿宋" w:hAnsi="仿宋"/>
              </w:rPr>
            </w:pPr>
            <w:r w:rsidRPr="0092725D">
              <w:rPr>
                <w:rFonts w:ascii="仿宋" w:eastAsia="仿宋" w:hAnsi="仿宋" w:cs="Times New Roman" w:hint="eastAsia"/>
              </w:rPr>
              <w:t>1、一级资本净额</w:t>
            </w:r>
          </w:p>
        </w:tc>
        <w:tc>
          <w:tcPr>
            <w:tcW w:w="3739" w:type="dxa"/>
            <w:shd w:val="clear" w:color="auto" w:fill="FFFFFF"/>
            <w:tcMar>
              <w:top w:w="0" w:type="dxa"/>
              <w:left w:w="108" w:type="dxa"/>
              <w:bottom w:w="0" w:type="dxa"/>
              <w:right w:w="108" w:type="dxa"/>
            </w:tcMar>
            <w:vAlign w:val="bottom"/>
          </w:tcPr>
          <w:p w:rsidR="00B5421D" w:rsidRPr="0092725D" w:rsidRDefault="00BF1FF1">
            <w:pPr>
              <w:pStyle w:val="a8"/>
              <w:spacing w:before="0" w:beforeAutospacing="0" w:after="0" w:afterAutospacing="0"/>
              <w:jc w:val="center"/>
              <w:rPr>
                <w:rFonts w:ascii="仿宋" w:eastAsia="仿宋" w:hAnsi="仿宋"/>
              </w:rPr>
            </w:pPr>
            <w:r w:rsidRPr="0092725D">
              <w:rPr>
                <w:rFonts w:ascii="仿宋" w:eastAsia="仿宋" w:hAnsi="仿宋" w:hint="eastAsia"/>
              </w:rPr>
              <w:t>7</w:t>
            </w:r>
            <w:r w:rsidR="0092725D">
              <w:rPr>
                <w:rFonts w:ascii="仿宋" w:eastAsia="仿宋" w:hAnsi="仿宋" w:hint="eastAsia"/>
              </w:rPr>
              <w:t>541</w:t>
            </w:r>
          </w:p>
        </w:tc>
      </w:tr>
      <w:tr w:rsidR="00B5421D" w:rsidRPr="0092725D">
        <w:trPr>
          <w:trHeight w:val="310"/>
          <w:jc w:val="center"/>
        </w:trPr>
        <w:tc>
          <w:tcPr>
            <w:tcW w:w="5159" w:type="dxa"/>
            <w:shd w:val="clear" w:color="auto" w:fill="FFFFFF"/>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rPr>
                <w:rFonts w:ascii="仿宋" w:eastAsia="仿宋" w:hAnsi="仿宋"/>
              </w:rPr>
            </w:pPr>
            <w:r w:rsidRPr="0092725D">
              <w:rPr>
                <w:rFonts w:ascii="仿宋" w:eastAsia="仿宋" w:hAnsi="仿宋" w:cs="Times New Roman" w:hint="eastAsia"/>
              </w:rPr>
              <w:lastRenderedPageBreak/>
              <w:t>2、二级资本</w:t>
            </w:r>
          </w:p>
        </w:tc>
        <w:tc>
          <w:tcPr>
            <w:tcW w:w="3739" w:type="dxa"/>
            <w:shd w:val="clear" w:color="auto" w:fill="FFFFFF"/>
            <w:tcMar>
              <w:top w:w="0" w:type="dxa"/>
              <w:left w:w="108" w:type="dxa"/>
              <w:bottom w:w="0" w:type="dxa"/>
              <w:right w:w="108" w:type="dxa"/>
            </w:tcMar>
            <w:vAlign w:val="bottom"/>
          </w:tcPr>
          <w:p w:rsidR="00B5421D" w:rsidRPr="0092725D" w:rsidRDefault="00BF1FF1">
            <w:pPr>
              <w:pStyle w:val="a8"/>
              <w:spacing w:before="0" w:beforeAutospacing="0" w:after="0" w:afterAutospacing="0"/>
              <w:jc w:val="center"/>
              <w:rPr>
                <w:rFonts w:ascii="仿宋" w:eastAsia="仿宋" w:hAnsi="仿宋"/>
              </w:rPr>
            </w:pPr>
            <w:r w:rsidRPr="0092725D">
              <w:rPr>
                <w:rFonts w:ascii="仿宋" w:eastAsia="仿宋" w:hAnsi="仿宋" w:hint="eastAsia"/>
              </w:rPr>
              <w:t>0</w:t>
            </w:r>
          </w:p>
        </w:tc>
      </w:tr>
      <w:tr w:rsidR="00B5421D" w:rsidRPr="0092725D">
        <w:trPr>
          <w:trHeight w:val="310"/>
          <w:jc w:val="center"/>
        </w:trPr>
        <w:tc>
          <w:tcPr>
            <w:tcW w:w="5159" w:type="dxa"/>
            <w:shd w:val="clear" w:color="auto" w:fill="FFFFFF"/>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jc w:val="both"/>
              <w:rPr>
                <w:rFonts w:ascii="仿宋" w:eastAsia="仿宋" w:hAnsi="仿宋"/>
              </w:rPr>
            </w:pPr>
            <w:r w:rsidRPr="0092725D">
              <w:rPr>
                <w:rFonts w:ascii="仿宋" w:eastAsia="仿宋" w:hAnsi="仿宋" w:cs="Times New Roman" w:hint="eastAsia"/>
              </w:rPr>
              <w:t>二、风险资产总额（应用资本底线及校准后的风险加权资产合计）</w:t>
            </w:r>
          </w:p>
        </w:tc>
        <w:tc>
          <w:tcPr>
            <w:tcW w:w="3739" w:type="dxa"/>
            <w:shd w:val="clear" w:color="auto" w:fill="FFFFFF"/>
            <w:tcMar>
              <w:top w:w="0" w:type="dxa"/>
              <w:left w:w="108" w:type="dxa"/>
              <w:bottom w:w="0" w:type="dxa"/>
              <w:right w:w="108" w:type="dxa"/>
            </w:tcMar>
            <w:vAlign w:val="bottom"/>
          </w:tcPr>
          <w:p w:rsidR="00B5421D" w:rsidRPr="0092725D" w:rsidRDefault="0092725D">
            <w:pPr>
              <w:pStyle w:val="a8"/>
              <w:spacing w:before="0" w:beforeAutospacing="0" w:after="0" w:afterAutospacing="0"/>
              <w:jc w:val="center"/>
              <w:rPr>
                <w:rFonts w:ascii="仿宋" w:eastAsia="仿宋" w:hAnsi="仿宋"/>
              </w:rPr>
            </w:pPr>
            <w:r>
              <w:rPr>
                <w:rFonts w:ascii="仿宋" w:eastAsia="仿宋" w:hAnsi="仿宋" w:hint="eastAsia"/>
              </w:rPr>
              <w:t>68695</w:t>
            </w:r>
          </w:p>
        </w:tc>
      </w:tr>
      <w:tr w:rsidR="00B5421D" w:rsidRPr="0092725D">
        <w:trPr>
          <w:trHeight w:val="310"/>
          <w:jc w:val="center"/>
        </w:trPr>
        <w:tc>
          <w:tcPr>
            <w:tcW w:w="5159" w:type="dxa"/>
            <w:shd w:val="clear" w:color="auto" w:fill="FFFFFF"/>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rPr>
                <w:rFonts w:ascii="仿宋" w:eastAsia="仿宋" w:hAnsi="仿宋"/>
              </w:rPr>
            </w:pPr>
            <w:r w:rsidRPr="0092725D">
              <w:rPr>
                <w:rFonts w:ascii="仿宋" w:eastAsia="仿宋" w:hAnsi="仿宋" w:cs="Times New Roman" w:hint="eastAsia"/>
              </w:rPr>
              <w:t>三、核心资本充足率</w:t>
            </w:r>
          </w:p>
        </w:tc>
        <w:tc>
          <w:tcPr>
            <w:tcW w:w="3739" w:type="dxa"/>
            <w:shd w:val="clear" w:color="auto" w:fill="FFFFFF"/>
            <w:tcMar>
              <w:top w:w="0" w:type="dxa"/>
              <w:left w:w="108" w:type="dxa"/>
              <w:bottom w:w="0" w:type="dxa"/>
              <w:right w:w="108" w:type="dxa"/>
            </w:tcMar>
            <w:vAlign w:val="bottom"/>
          </w:tcPr>
          <w:p w:rsidR="00B5421D" w:rsidRPr="0092725D" w:rsidRDefault="00BF1FF1">
            <w:pPr>
              <w:pStyle w:val="a8"/>
              <w:spacing w:before="0" w:beforeAutospacing="0" w:after="0" w:afterAutospacing="0"/>
              <w:jc w:val="center"/>
              <w:rPr>
                <w:rFonts w:ascii="仿宋" w:eastAsia="仿宋" w:hAnsi="仿宋"/>
              </w:rPr>
            </w:pPr>
            <w:r w:rsidRPr="0092725D">
              <w:rPr>
                <w:rFonts w:ascii="仿宋" w:eastAsia="仿宋" w:hAnsi="仿宋" w:hint="eastAsia"/>
              </w:rPr>
              <w:t>1</w:t>
            </w:r>
            <w:r w:rsidR="0092725D">
              <w:rPr>
                <w:rFonts w:ascii="仿宋" w:eastAsia="仿宋" w:hAnsi="仿宋" w:hint="eastAsia"/>
              </w:rPr>
              <w:t>0.98</w:t>
            </w:r>
          </w:p>
        </w:tc>
      </w:tr>
      <w:tr w:rsidR="00B5421D">
        <w:trPr>
          <w:trHeight w:val="310"/>
          <w:jc w:val="center"/>
        </w:trPr>
        <w:tc>
          <w:tcPr>
            <w:tcW w:w="5159" w:type="dxa"/>
            <w:shd w:val="clear" w:color="auto" w:fill="FFFFFF"/>
            <w:tcMar>
              <w:top w:w="0" w:type="dxa"/>
              <w:left w:w="108" w:type="dxa"/>
              <w:bottom w:w="0" w:type="dxa"/>
              <w:right w:w="108" w:type="dxa"/>
            </w:tcMar>
            <w:vAlign w:val="center"/>
          </w:tcPr>
          <w:p w:rsidR="00B5421D" w:rsidRPr="0092725D" w:rsidRDefault="00BF1FF1">
            <w:pPr>
              <w:pStyle w:val="a8"/>
              <w:spacing w:before="0" w:beforeAutospacing="0" w:after="0" w:afterAutospacing="0" w:line="600" w:lineRule="exact"/>
              <w:ind w:firstLineChars="200" w:firstLine="480"/>
              <w:rPr>
                <w:rFonts w:ascii="仿宋" w:eastAsia="仿宋" w:hAnsi="仿宋"/>
              </w:rPr>
            </w:pPr>
            <w:r w:rsidRPr="0092725D">
              <w:rPr>
                <w:rFonts w:ascii="仿宋" w:eastAsia="仿宋" w:hAnsi="仿宋" w:cs="Times New Roman" w:hint="eastAsia"/>
              </w:rPr>
              <w:t>四、资本充足率</w:t>
            </w:r>
          </w:p>
        </w:tc>
        <w:tc>
          <w:tcPr>
            <w:tcW w:w="3739" w:type="dxa"/>
            <w:shd w:val="clear" w:color="auto" w:fill="FFFFFF"/>
            <w:tcMar>
              <w:top w:w="0" w:type="dxa"/>
              <w:left w:w="108" w:type="dxa"/>
              <w:bottom w:w="0" w:type="dxa"/>
              <w:right w:w="108" w:type="dxa"/>
            </w:tcMar>
            <w:vAlign w:val="bottom"/>
          </w:tcPr>
          <w:p w:rsidR="00B5421D" w:rsidRDefault="00BF1FF1">
            <w:pPr>
              <w:pStyle w:val="a8"/>
              <w:spacing w:before="0" w:beforeAutospacing="0" w:after="0" w:afterAutospacing="0"/>
              <w:jc w:val="center"/>
              <w:rPr>
                <w:rFonts w:ascii="仿宋" w:eastAsia="仿宋" w:hAnsi="仿宋"/>
              </w:rPr>
            </w:pPr>
            <w:r w:rsidRPr="0092725D">
              <w:rPr>
                <w:rFonts w:ascii="仿宋" w:eastAsia="仿宋" w:hAnsi="仿宋" w:hint="eastAsia"/>
              </w:rPr>
              <w:t>1</w:t>
            </w:r>
            <w:r w:rsidR="0092725D">
              <w:rPr>
                <w:rFonts w:ascii="仿宋" w:eastAsia="仿宋" w:hAnsi="仿宋" w:hint="eastAsia"/>
              </w:rPr>
              <w:t>2.92</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8．报告期内，本行没有银行承兑汇票、对外担保、融资保函、非融资保函、贷款承诺、开出即期信用证、开出远期信用证、金融期货、金融期权等表外项目，其年末余额均为0。</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（四）关联方关系及交易</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1.截至本财务报表批准报出日止，本行2024年度共发生关联交易29笔，发放余额2347万元，其中重大关联交易10笔，金额2196万元；一般关联交易19笔，金额151万元。</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2.与主发起行之间的关联交易情况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42"/>
        <w:gridCol w:w="2387"/>
        <w:gridCol w:w="2549"/>
        <w:gridCol w:w="1344"/>
      </w:tblGrid>
      <w:tr w:rsidR="00B5421D">
        <w:trPr>
          <w:trHeight w:val="224"/>
          <w:jc w:val="center"/>
        </w:trPr>
        <w:tc>
          <w:tcPr>
            <w:tcW w:w="2242" w:type="dxa"/>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主发起行名称</w:t>
            </w:r>
          </w:p>
        </w:tc>
        <w:tc>
          <w:tcPr>
            <w:tcW w:w="2387" w:type="dxa"/>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村镇银行上存主发起行资金</w:t>
            </w:r>
          </w:p>
        </w:tc>
        <w:tc>
          <w:tcPr>
            <w:tcW w:w="2549" w:type="dxa"/>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主发起行对村镇银行的资金支持情况</w:t>
            </w:r>
          </w:p>
        </w:tc>
        <w:tc>
          <w:tcPr>
            <w:tcW w:w="1344" w:type="dxa"/>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sz w:val="30"/>
                <w:szCs w:val="30"/>
              </w:rPr>
            </w:pPr>
            <w:r>
              <w:rPr>
                <w:rFonts w:ascii="仿宋" w:eastAsia="仿宋" w:hAnsi="仿宋" w:cs="Times New Roman" w:hint="eastAsia"/>
                <w:sz w:val="30"/>
                <w:szCs w:val="30"/>
              </w:rPr>
              <w:t>备注</w:t>
            </w:r>
          </w:p>
        </w:tc>
      </w:tr>
      <w:tr w:rsidR="00B5421D">
        <w:trPr>
          <w:trHeight w:val="488"/>
          <w:jc w:val="center"/>
        </w:trPr>
        <w:tc>
          <w:tcPr>
            <w:tcW w:w="2242" w:type="dxa"/>
            <w:tcMar>
              <w:top w:w="0" w:type="dxa"/>
              <w:left w:w="108" w:type="dxa"/>
              <w:bottom w:w="0" w:type="dxa"/>
              <w:right w:w="108" w:type="dxa"/>
            </w:tcMar>
            <w:vAlign w:val="center"/>
          </w:tcPr>
          <w:p w:rsidR="00B5421D" w:rsidRPr="006378A4" w:rsidRDefault="00BF1FF1">
            <w:pPr>
              <w:pStyle w:val="a8"/>
              <w:spacing w:before="0" w:beforeAutospacing="0" w:after="0" w:afterAutospacing="0" w:line="600" w:lineRule="exact"/>
              <w:jc w:val="both"/>
              <w:rPr>
                <w:rFonts w:ascii="仿宋" w:eastAsia="仿宋" w:hAnsi="仿宋"/>
                <w:sz w:val="30"/>
                <w:szCs w:val="30"/>
              </w:rPr>
            </w:pPr>
            <w:r w:rsidRPr="006378A4">
              <w:rPr>
                <w:rFonts w:ascii="仿宋" w:eastAsia="仿宋" w:hAnsi="仿宋" w:cs="Times New Roman" w:hint="eastAsia"/>
                <w:sz w:val="30"/>
                <w:szCs w:val="30"/>
              </w:rPr>
              <w:t>侯马农商银行股份有限公司</w:t>
            </w:r>
          </w:p>
        </w:tc>
        <w:tc>
          <w:tcPr>
            <w:tcW w:w="2387" w:type="dxa"/>
            <w:tcMar>
              <w:top w:w="0" w:type="dxa"/>
              <w:left w:w="108" w:type="dxa"/>
              <w:bottom w:w="0" w:type="dxa"/>
              <w:right w:w="108" w:type="dxa"/>
            </w:tcMar>
            <w:vAlign w:val="center"/>
          </w:tcPr>
          <w:p w:rsidR="00B5421D" w:rsidRPr="006378A4" w:rsidRDefault="006378A4" w:rsidP="006378A4">
            <w:pPr>
              <w:pStyle w:val="a8"/>
              <w:spacing w:before="0" w:beforeAutospacing="0" w:after="0" w:afterAutospacing="0" w:line="600" w:lineRule="exact"/>
              <w:ind w:firstLineChars="200" w:firstLine="600"/>
              <w:jc w:val="center"/>
              <w:rPr>
                <w:rFonts w:ascii="仿宋" w:eastAsia="仿宋" w:hAnsi="仿宋"/>
                <w:sz w:val="30"/>
                <w:szCs w:val="30"/>
              </w:rPr>
            </w:pPr>
            <w:r w:rsidRPr="006378A4">
              <w:rPr>
                <w:rFonts w:ascii="仿宋" w:eastAsia="仿宋" w:hAnsi="仿宋" w:cs="Times New Roman" w:hint="eastAsia"/>
                <w:sz w:val="30"/>
                <w:szCs w:val="30"/>
              </w:rPr>
              <w:t>1801.8</w:t>
            </w:r>
          </w:p>
        </w:tc>
        <w:tc>
          <w:tcPr>
            <w:tcW w:w="2549" w:type="dxa"/>
            <w:tcMar>
              <w:top w:w="0" w:type="dxa"/>
              <w:left w:w="108" w:type="dxa"/>
              <w:bottom w:w="0" w:type="dxa"/>
              <w:right w:w="108" w:type="dxa"/>
            </w:tcMar>
            <w:vAlign w:val="center"/>
          </w:tcPr>
          <w:p w:rsidR="00B5421D" w:rsidRPr="006378A4" w:rsidRDefault="00BF1FF1">
            <w:pPr>
              <w:pStyle w:val="a8"/>
              <w:spacing w:before="0" w:beforeAutospacing="0" w:after="0" w:afterAutospacing="0" w:line="600" w:lineRule="exact"/>
              <w:ind w:firstLineChars="200" w:firstLine="600"/>
              <w:jc w:val="center"/>
              <w:rPr>
                <w:rFonts w:ascii="仿宋" w:eastAsia="仿宋" w:hAnsi="仿宋"/>
                <w:sz w:val="30"/>
                <w:szCs w:val="30"/>
              </w:rPr>
            </w:pPr>
            <w:r w:rsidRPr="006378A4">
              <w:rPr>
                <w:rFonts w:ascii="仿宋" w:eastAsia="仿宋" w:hAnsi="仿宋" w:cs="Times New Roman" w:hint="eastAsia"/>
                <w:sz w:val="30"/>
                <w:szCs w:val="30"/>
              </w:rPr>
              <w:t>0</w:t>
            </w:r>
          </w:p>
        </w:tc>
        <w:tc>
          <w:tcPr>
            <w:tcW w:w="1344" w:type="dxa"/>
            <w:tcMar>
              <w:top w:w="0" w:type="dxa"/>
              <w:left w:w="108" w:type="dxa"/>
              <w:bottom w:w="0" w:type="dxa"/>
              <w:right w:w="108" w:type="dxa"/>
            </w:tcMar>
            <w:vAlign w:val="center"/>
          </w:tcPr>
          <w:p w:rsidR="00B5421D" w:rsidRPr="006378A4" w:rsidRDefault="00BF1FF1">
            <w:pPr>
              <w:spacing w:line="600" w:lineRule="exact"/>
              <w:ind w:firstLineChars="200" w:firstLine="600"/>
              <w:rPr>
                <w:rFonts w:ascii="仿宋" w:eastAsia="仿宋" w:hAnsi="仿宋" w:cs="宋体"/>
                <w:sz w:val="30"/>
                <w:szCs w:val="30"/>
              </w:rPr>
            </w:pPr>
            <w:r w:rsidRPr="006378A4">
              <w:rPr>
                <w:rFonts w:ascii="微软雅黑" w:eastAsia="仿宋" w:hAnsi="微软雅黑" w:hint="eastAsia"/>
                <w:sz w:val="30"/>
                <w:szCs w:val="30"/>
              </w:rPr>
              <w:t> </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（五）重要会计政策和会计估计的变更</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截至本财务报表批准报出日止，本行没有重要会计政策和会计估计的变更。</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lastRenderedPageBreak/>
        <w:t>（六）或有事项</w:t>
      </w:r>
      <w:r>
        <w:rPr>
          <w:rFonts w:ascii="仿宋" w:eastAsia="仿宋" w:hAnsi="仿宋" w:hint="eastAsia"/>
          <w:sz w:val="30"/>
          <w:szCs w:val="30"/>
        </w:rPr>
        <w:t>。</w:t>
      </w:r>
      <w:r>
        <w:rPr>
          <w:rFonts w:ascii="仿宋" w:eastAsia="仿宋" w:hAnsi="仿宋" w:cs="Times New Roman" w:hint="eastAsia"/>
          <w:sz w:val="30"/>
          <w:szCs w:val="30"/>
        </w:rPr>
        <w:t>截至本财务报表批准报出日止，本行没有其他任何需作披露的或有事项。</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（七）资产负债表日后事项</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截至本财务报表批准报出日止，本行没有其他任何需作披露或调整的重大资产负债表日后事项。</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（八）重要资产转让及出售情况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截至本财务报表批准报出日止，本行未发生重要资产转让及出售事项。</w:t>
      </w:r>
    </w:p>
    <w:p w:rsidR="00B5421D" w:rsidRDefault="00BF1FF1">
      <w:pPr>
        <w:pStyle w:val="2"/>
        <w:spacing w:line="600" w:lineRule="exact"/>
        <w:ind w:firstLineChars="200" w:firstLine="600"/>
        <w:jc w:val="both"/>
        <w:rPr>
          <w:rFonts w:ascii="仿宋" w:eastAsia="仿宋" w:hAnsi="仿宋" w:cs="Times New Roman"/>
          <w:sz w:val="30"/>
          <w:szCs w:val="30"/>
          <w:highlight w:val="yellow"/>
        </w:rPr>
      </w:pPr>
      <w:bookmarkStart w:id="13" w:name="_Toc227401520"/>
      <w:bookmarkStart w:id="14" w:name="_Toc193883041"/>
      <w:bookmarkStart w:id="15" w:name="_Toc481080002"/>
      <w:bookmarkEnd w:id="13"/>
      <w:bookmarkEnd w:id="14"/>
      <w:r>
        <w:rPr>
          <w:rStyle w:val="a9"/>
          <w:rFonts w:ascii="仿宋" w:eastAsia="仿宋" w:hAnsi="仿宋" w:cs="Arial" w:hint="eastAsia"/>
          <w:sz w:val="30"/>
          <w:szCs w:val="30"/>
        </w:rPr>
        <w:t>三</w:t>
      </w:r>
      <w:bookmarkEnd w:id="15"/>
      <w:r>
        <w:rPr>
          <w:rStyle w:val="a9"/>
          <w:rFonts w:ascii="仿宋" w:eastAsia="仿宋" w:hAnsi="仿宋" w:cs="Arial" w:hint="eastAsia"/>
          <w:sz w:val="30"/>
          <w:szCs w:val="30"/>
        </w:rPr>
        <w:t>、财务状况说明书</w:t>
      </w:r>
      <w:bookmarkStart w:id="16" w:name="_Toc322415013"/>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（一）基本经营情况</w:t>
      </w:r>
      <w:bookmarkEnd w:id="16"/>
    </w:p>
    <w:p w:rsidR="00B5421D" w:rsidRPr="00F63E66" w:rsidRDefault="00BF1FF1">
      <w:pPr>
        <w:pStyle w:val="a8"/>
        <w:spacing w:before="0" w:beforeAutospacing="0" w:after="0" w:afterAutospacing="0" w:line="600" w:lineRule="exact"/>
        <w:ind w:firstLineChars="200" w:firstLine="600"/>
        <w:jc w:val="both"/>
        <w:rPr>
          <w:rFonts w:ascii="仿宋" w:eastAsia="仿宋" w:hAnsi="仿宋"/>
          <w:sz w:val="30"/>
          <w:szCs w:val="30"/>
        </w:rPr>
      </w:pPr>
      <w:bookmarkStart w:id="17" w:name="_Toc322415014"/>
      <w:bookmarkEnd w:id="17"/>
      <w:r w:rsidRPr="00F63E66">
        <w:rPr>
          <w:rFonts w:ascii="仿宋" w:eastAsia="仿宋" w:hAnsi="仿宋" w:cs="Times New Roman" w:hint="eastAsia"/>
          <w:sz w:val="30"/>
          <w:szCs w:val="30"/>
        </w:rPr>
        <w:t>截止报告期末，本行资产总额</w:t>
      </w:r>
      <w:r w:rsidR="00F63E66" w:rsidRPr="00F63E66">
        <w:rPr>
          <w:rFonts w:ascii="仿宋" w:eastAsia="仿宋" w:hAnsi="仿宋" w:cs="Times New Roman" w:hint="eastAsia"/>
          <w:sz w:val="30"/>
          <w:szCs w:val="30"/>
        </w:rPr>
        <w:t>132358</w:t>
      </w:r>
      <w:r w:rsidRPr="00F63E66">
        <w:rPr>
          <w:rFonts w:ascii="仿宋" w:eastAsia="仿宋" w:hAnsi="仿宋" w:cs="Times New Roman" w:hint="eastAsia"/>
          <w:sz w:val="30"/>
          <w:szCs w:val="30"/>
        </w:rPr>
        <w:t>万元；各项存款1</w:t>
      </w:r>
      <w:r w:rsidR="00F63E66" w:rsidRPr="00F63E66">
        <w:rPr>
          <w:rFonts w:ascii="仿宋" w:eastAsia="仿宋" w:hAnsi="仿宋" w:cs="Times New Roman" w:hint="eastAsia"/>
          <w:sz w:val="30"/>
          <w:szCs w:val="30"/>
        </w:rPr>
        <w:t>18883</w:t>
      </w:r>
      <w:r w:rsidRPr="00F63E66">
        <w:rPr>
          <w:rFonts w:ascii="仿宋" w:eastAsia="仿宋" w:hAnsi="仿宋" w:cs="Times New Roman" w:hint="eastAsia"/>
          <w:sz w:val="30"/>
          <w:szCs w:val="30"/>
        </w:rPr>
        <w:t>万元；各项贷款62262万元；全年实现税前利润</w:t>
      </w:r>
      <w:r w:rsidR="00F63E66" w:rsidRPr="00F63E66">
        <w:rPr>
          <w:rFonts w:ascii="仿宋" w:eastAsia="仿宋" w:hAnsi="仿宋" w:cs="Times New Roman" w:hint="eastAsia"/>
          <w:sz w:val="30"/>
          <w:szCs w:val="30"/>
        </w:rPr>
        <w:t>503.10</w:t>
      </w:r>
      <w:r w:rsidRPr="00F63E66">
        <w:rPr>
          <w:rFonts w:ascii="仿宋" w:eastAsia="仿宋" w:hAnsi="仿宋" w:cs="Times New Roman" w:hint="eastAsia"/>
          <w:sz w:val="30"/>
          <w:szCs w:val="30"/>
        </w:rPr>
        <w:t>万元；不良贷款（五级分类）924万元；不良贷款率1.48%；资本充足率</w:t>
      </w:r>
      <w:r w:rsidR="00F63E66" w:rsidRPr="00F63E66">
        <w:rPr>
          <w:rFonts w:ascii="仿宋" w:eastAsia="仿宋" w:hAnsi="仿宋" w:cs="Times New Roman" w:hint="eastAsia"/>
          <w:sz w:val="30"/>
          <w:szCs w:val="30"/>
        </w:rPr>
        <w:t>12.92</w:t>
      </w:r>
      <w:r w:rsidRPr="00F63E66">
        <w:rPr>
          <w:rFonts w:ascii="仿宋" w:eastAsia="仿宋" w:hAnsi="仿宋" w:cs="Times New Roman" w:hint="eastAsia"/>
          <w:sz w:val="30"/>
          <w:szCs w:val="30"/>
        </w:rPr>
        <w:t>%。</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F63E66">
        <w:rPr>
          <w:rFonts w:ascii="仿宋" w:eastAsia="仿宋" w:hAnsi="仿宋" w:cs="Times New Roman" w:hint="eastAsia"/>
          <w:sz w:val="30"/>
          <w:szCs w:val="30"/>
        </w:rPr>
        <w:t>（二）利润实现和分配情况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F63E66">
        <w:rPr>
          <w:rFonts w:ascii="仿宋" w:eastAsia="仿宋" w:hAnsi="仿宋" w:cs="Times New Roman" w:hint="eastAsia"/>
          <w:sz w:val="30"/>
          <w:szCs w:val="30"/>
        </w:rPr>
        <w:t>截止报告期末，本行实现税前利润</w:t>
      </w:r>
      <w:r w:rsidR="00F63E66" w:rsidRPr="00F63E66">
        <w:rPr>
          <w:rFonts w:ascii="仿宋" w:eastAsia="仿宋" w:hAnsi="仿宋" w:cs="Times New Roman" w:hint="eastAsia"/>
          <w:sz w:val="30"/>
          <w:szCs w:val="30"/>
        </w:rPr>
        <w:t>503.10</w:t>
      </w:r>
      <w:r w:rsidRPr="00F63E66">
        <w:rPr>
          <w:rFonts w:ascii="仿宋" w:eastAsia="仿宋" w:hAnsi="仿宋" w:cs="Times New Roman" w:hint="eastAsia"/>
          <w:sz w:val="30"/>
          <w:szCs w:val="30"/>
        </w:rPr>
        <w:t>万元，净利润</w:t>
      </w:r>
      <w:r w:rsidR="00F63E66" w:rsidRPr="00F63E66">
        <w:rPr>
          <w:rFonts w:ascii="仿宋" w:eastAsia="仿宋" w:hAnsi="仿宋" w:cs="Times New Roman" w:hint="eastAsia"/>
          <w:sz w:val="30"/>
          <w:szCs w:val="30"/>
        </w:rPr>
        <w:t>311.51</w:t>
      </w:r>
      <w:r w:rsidRPr="00F63E66">
        <w:rPr>
          <w:rFonts w:ascii="仿宋" w:eastAsia="仿宋" w:hAnsi="仿宋" w:cs="Times New Roman" w:hint="eastAsia"/>
          <w:sz w:val="30"/>
          <w:szCs w:val="30"/>
        </w:rPr>
        <w:t>万元，累计提取法定盈余公积</w:t>
      </w:r>
      <w:r w:rsidR="00F63E66" w:rsidRPr="00F63E66">
        <w:rPr>
          <w:rFonts w:ascii="仿宋" w:eastAsia="仿宋" w:hAnsi="仿宋" w:cs="Times New Roman" w:hint="eastAsia"/>
          <w:sz w:val="30"/>
          <w:szCs w:val="30"/>
        </w:rPr>
        <w:t>306</w:t>
      </w:r>
      <w:r w:rsidRPr="00F63E66">
        <w:rPr>
          <w:rFonts w:ascii="仿宋" w:eastAsia="仿宋" w:hAnsi="仿宋" w:cs="Times New Roman" w:hint="eastAsia"/>
          <w:sz w:val="30"/>
          <w:szCs w:val="30"/>
        </w:rPr>
        <w:t>万元，累计提取一般风险准备</w:t>
      </w:r>
      <w:r w:rsidR="00F63E66" w:rsidRPr="00F63E66">
        <w:rPr>
          <w:rFonts w:ascii="仿宋" w:eastAsia="仿宋" w:hAnsi="仿宋" w:cs="Times New Roman" w:hint="eastAsia"/>
          <w:sz w:val="30"/>
          <w:szCs w:val="30"/>
        </w:rPr>
        <w:t>370</w:t>
      </w:r>
      <w:r w:rsidRPr="00F63E66">
        <w:rPr>
          <w:rFonts w:ascii="仿宋" w:eastAsia="仿宋" w:hAnsi="仿宋" w:cs="Times New Roman" w:hint="eastAsia"/>
          <w:sz w:val="30"/>
          <w:szCs w:val="30"/>
        </w:rPr>
        <w:t>万元，未分配利润</w:t>
      </w:r>
      <w:r w:rsidR="00F63E66" w:rsidRPr="00F63E66">
        <w:rPr>
          <w:rFonts w:ascii="仿宋" w:eastAsia="仿宋" w:hAnsi="仿宋" w:cs="Times New Roman" w:hint="eastAsia"/>
          <w:sz w:val="30"/>
          <w:szCs w:val="30"/>
        </w:rPr>
        <w:t>865</w:t>
      </w:r>
      <w:r w:rsidRPr="00F63E66">
        <w:rPr>
          <w:rFonts w:ascii="仿宋" w:eastAsia="仿宋" w:hAnsi="仿宋" w:cs="Times New Roman" w:hint="eastAsia"/>
          <w:sz w:val="30"/>
          <w:szCs w:val="30"/>
        </w:rPr>
        <w:t>万元。</w:t>
      </w:r>
      <w:r w:rsidRPr="006E3CD0">
        <w:rPr>
          <w:rFonts w:ascii="仿宋" w:eastAsia="仿宋" w:hAnsi="仿宋" w:cs="Times New Roman" w:hint="eastAsia"/>
          <w:sz w:val="30"/>
          <w:szCs w:val="30"/>
        </w:rPr>
        <w:t>拟对2024年度股金（总股本6000万股）进行分红，分红预案需召开股东大会审议通过后实施。</w:t>
      </w:r>
    </w:p>
    <w:p w:rsidR="00B5421D" w:rsidRPr="002C5ACD"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2C5ACD">
        <w:rPr>
          <w:rFonts w:ascii="仿宋" w:eastAsia="仿宋" w:hAnsi="仿宋" w:cs="Times New Roman" w:hint="eastAsia"/>
          <w:sz w:val="30"/>
          <w:szCs w:val="30"/>
        </w:rPr>
        <w:t>（三）薪酬情况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bookmarkStart w:id="18" w:name="_Toc322415015"/>
      <w:bookmarkEnd w:id="18"/>
      <w:r w:rsidRPr="002C5ACD">
        <w:rPr>
          <w:rFonts w:ascii="仿宋" w:eastAsia="仿宋" w:hAnsi="仿宋" w:cs="Times New Roman" w:hint="eastAsia"/>
          <w:sz w:val="30"/>
          <w:szCs w:val="30"/>
        </w:rPr>
        <w:lastRenderedPageBreak/>
        <w:t>截至报告期末，本行人员费用总额为</w:t>
      </w:r>
      <w:r w:rsidR="002C5ACD" w:rsidRPr="002C5ACD">
        <w:rPr>
          <w:rFonts w:ascii="仿宋" w:eastAsia="仿宋" w:hAnsi="仿宋" w:cs="Times New Roman" w:hint="eastAsia"/>
          <w:sz w:val="30"/>
          <w:szCs w:val="30"/>
        </w:rPr>
        <w:t>1680</w:t>
      </w:r>
      <w:r w:rsidRPr="002C5ACD">
        <w:rPr>
          <w:rFonts w:ascii="仿宋" w:eastAsia="仿宋" w:hAnsi="仿宋" w:cs="Times New Roman" w:hint="eastAsia"/>
          <w:sz w:val="30"/>
          <w:szCs w:val="30"/>
        </w:rPr>
        <w:t>万元，其中：职工工资为</w:t>
      </w:r>
      <w:r w:rsidR="002C5ACD" w:rsidRPr="002C5ACD">
        <w:rPr>
          <w:rFonts w:ascii="仿宋" w:eastAsia="仿宋" w:hAnsi="仿宋" w:cs="Times New Roman" w:hint="eastAsia"/>
          <w:sz w:val="30"/>
          <w:szCs w:val="30"/>
        </w:rPr>
        <w:t>1168</w:t>
      </w:r>
      <w:r w:rsidRPr="002C5ACD">
        <w:rPr>
          <w:rFonts w:ascii="仿宋" w:eastAsia="仿宋" w:hAnsi="仿宋" w:cs="Times New Roman" w:hint="eastAsia"/>
          <w:sz w:val="30"/>
          <w:szCs w:val="30"/>
        </w:rPr>
        <w:t>万元，五险二金支出为</w:t>
      </w:r>
      <w:r w:rsidR="002C5ACD" w:rsidRPr="002C5ACD">
        <w:rPr>
          <w:rFonts w:ascii="仿宋" w:eastAsia="仿宋" w:hAnsi="仿宋" w:cs="Times New Roman" w:hint="eastAsia"/>
          <w:sz w:val="30"/>
          <w:szCs w:val="30"/>
        </w:rPr>
        <w:t>292</w:t>
      </w:r>
      <w:r w:rsidRPr="002C5ACD">
        <w:rPr>
          <w:rFonts w:ascii="仿宋" w:eastAsia="仿宋" w:hAnsi="仿宋" w:cs="Times New Roman" w:hint="eastAsia"/>
          <w:sz w:val="30"/>
          <w:szCs w:val="30"/>
        </w:rPr>
        <w:t>万元，其他支出</w:t>
      </w:r>
      <w:r w:rsidR="002C5ACD" w:rsidRPr="002C5ACD">
        <w:rPr>
          <w:rFonts w:ascii="仿宋" w:eastAsia="仿宋" w:hAnsi="仿宋" w:cs="Times New Roman" w:hint="eastAsia"/>
          <w:sz w:val="30"/>
          <w:szCs w:val="30"/>
        </w:rPr>
        <w:t>220</w:t>
      </w:r>
      <w:r w:rsidRPr="002C5ACD">
        <w:rPr>
          <w:rFonts w:ascii="仿宋" w:eastAsia="仿宋" w:hAnsi="仿宋" w:cs="Times New Roman" w:hint="eastAsia"/>
          <w:sz w:val="30"/>
          <w:szCs w:val="30"/>
        </w:rPr>
        <w:t>万元。</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（四）其他事项</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报告期内，没有对本行财务状况、经营成果有重大影响的事项。</w:t>
      </w:r>
    </w:p>
    <w:p w:rsidR="00B5421D" w:rsidRDefault="00BF1FF1">
      <w:pPr>
        <w:pStyle w:val="1"/>
        <w:spacing w:before="0" w:beforeAutospacing="0" w:after="0" w:afterAutospacing="0" w:line="600" w:lineRule="exact"/>
        <w:ind w:firstLineChars="200" w:firstLine="602"/>
        <w:jc w:val="center"/>
        <w:rPr>
          <w:rStyle w:val="a9"/>
          <w:rFonts w:ascii="仿宋" w:eastAsia="仿宋" w:hAnsi="仿宋"/>
          <w:b/>
          <w:bCs/>
          <w:sz w:val="30"/>
          <w:szCs w:val="30"/>
        </w:rPr>
      </w:pPr>
      <w:bookmarkStart w:id="19" w:name="_Toc481080003"/>
      <w:r>
        <w:rPr>
          <w:rStyle w:val="a9"/>
          <w:rFonts w:ascii="仿宋" w:eastAsia="仿宋" w:hAnsi="仿宋" w:hint="eastAsia"/>
          <w:b/>
          <w:bCs/>
          <w:sz w:val="30"/>
          <w:szCs w:val="30"/>
        </w:rPr>
        <w:t>第四章</w:t>
      </w:r>
      <w:r>
        <w:rPr>
          <w:rStyle w:val="a9"/>
          <w:rFonts w:eastAsia="仿宋" w:hint="eastAsia"/>
          <w:b/>
          <w:bCs/>
          <w:sz w:val="30"/>
          <w:szCs w:val="30"/>
        </w:rPr>
        <w:t> </w:t>
      </w:r>
      <w:r>
        <w:rPr>
          <w:rStyle w:val="apple-converted-space"/>
          <w:rFonts w:eastAsia="仿宋" w:hint="eastAsia"/>
          <w:sz w:val="30"/>
          <w:szCs w:val="30"/>
        </w:rPr>
        <w:t> </w:t>
      </w:r>
      <w:bookmarkEnd w:id="19"/>
      <w:r>
        <w:rPr>
          <w:rStyle w:val="a9"/>
          <w:rFonts w:ascii="仿宋" w:eastAsia="仿宋" w:hAnsi="仿宋" w:hint="eastAsia"/>
          <w:b/>
          <w:bCs/>
          <w:sz w:val="30"/>
          <w:szCs w:val="30"/>
        </w:rPr>
        <w:t>风险管理情况</w:t>
      </w:r>
    </w:p>
    <w:p w:rsidR="00B5421D" w:rsidRDefault="00BF1FF1">
      <w:pPr>
        <w:pStyle w:val="1"/>
        <w:spacing w:before="0" w:beforeAutospacing="0" w:after="0" w:afterAutospacing="0" w:line="600" w:lineRule="exact"/>
        <w:ind w:firstLineChars="200" w:firstLine="602"/>
        <w:rPr>
          <w:rFonts w:ascii="仿宋" w:eastAsia="仿宋" w:hAnsi="仿宋"/>
          <w:sz w:val="30"/>
          <w:szCs w:val="30"/>
        </w:rPr>
      </w:pPr>
      <w:r>
        <w:rPr>
          <w:rStyle w:val="apple-converted-space"/>
          <w:rFonts w:ascii="Arial" w:eastAsia="仿宋" w:hAnsi="Arial" w:cs="Arial"/>
          <w:sz w:val="30"/>
          <w:szCs w:val="30"/>
        </w:rPr>
        <w:t> </w:t>
      </w:r>
      <w:bookmarkStart w:id="20" w:name="_Toc481080004"/>
      <w:r>
        <w:rPr>
          <w:rStyle w:val="a9"/>
          <w:rFonts w:ascii="仿宋" w:eastAsia="仿宋" w:hAnsi="仿宋" w:cs="Arial" w:hint="eastAsia"/>
          <w:b/>
          <w:bCs/>
          <w:sz w:val="30"/>
          <w:szCs w:val="30"/>
        </w:rPr>
        <w:t>一、</w:t>
      </w:r>
      <w:bookmarkEnd w:id="20"/>
      <w:r>
        <w:rPr>
          <w:rStyle w:val="a9"/>
          <w:rFonts w:ascii="仿宋" w:eastAsia="仿宋" w:hAnsi="仿宋" w:cs="Arial" w:hint="eastAsia"/>
          <w:b/>
          <w:bCs/>
          <w:sz w:val="30"/>
          <w:szCs w:val="30"/>
        </w:rPr>
        <w:t>信用风险状况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本行面临的信用风险是指交易对方无法在到期日全额偿还本行借贷资金的风险。当交易对方集中于某些相同行业或地理区域时，信用风险随之上升。</w:t>
      </w:r>
    </w:p>
    <w:p w:rsidR="00B5421D" w:rsidRDefault="00BF1FF1">
      <w:pPr>
        <w:pStyle w:val="20"/>
        <w:spacing w:before="0" w:beforeAutospacing="0" w:after="120" w:afterAutospacing="0" w:line="600" w:lineRule="exact"/>
        <w:ind w:firstLineChars="200" w:firstLine="600"/>
        <w:jc w:val="both"/>
        <w:rPr>
          <w:rFonts w:ascii="仿宋" w:eastAsia="仿宋" w:hAnsi="仿宋"/>
          <w:sz w:val="30"/>
          <w:szCs w:val="30"/>
        </w:rPr>
      </w:pPr>
      <w:bookmarkStart w:id="21" w:name="_Toc227401526"/>
      <w:bookmarkStart w:id="22" w:name="_Toc193883047"/>
      <w:bookmarkStart w:id="23" w:name="_Toc322415018"/>
      <w:bookmarkEnd w:id="21"/>
      <w:bookmarkEnd w:id="22"/>
      <w:r>
        <w:rPr>
          <w:rFonts w:ascii="仿宋" w:eastAsia="仿宋" w:hAnsi="仿宋" w:cs="Tahoma" w:hint="eastAsia"/>
          <w:sz w:val="30"/>
          <w:szCs w:val="30"/>
        </w:rPr>
        <w:t>（一）董事会、经营管理层信用风险的控制能力</w:t>
      </w:r>
      <w:bookmarkEnd w:id="23"/>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报告期内，本行董事和经营管理层进一步加强信用风险管控，强化政策导向和制度约束，建立和加强风险管理和内部控制机制，定期监测风险状况，提升了资产质量。</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bookmarkStart w:id="24" w:name="_Toc322415019"/>
      <w:r>
        <w:rPr>
          <w:rFonts w:ascii="仿宋" w:eastAsia="仿宋" w:hAnsi="仿宋" w:cs="Times New Roman" w:hint="eastAsia"/>
          <w:sz w:val="30"/>
          <w:szCs w:val="30"/>
        </w:rPr>
        <w:t>（二）信用风险管理政策</w:t>
      </w:r>
      <w:bookmarkEnd w:id="24"/>
    </w:p>
    <w:p w:rsidR="00B5421D" w:rsidRDefault="00BF1FF1">
      <w:pPr>
        <w:pStyle w:val="a8"/>
        <w:spacing w:before="0" w:beforeAutospacing="0" w:after="0" w:afterAutospacing="0" w:line="600" w:lineRule="exact"/>
        <w:ind w:firstLineChars="200" w:firstLine="600"/>
        <w:rPr>
          <w:rFonts w:ascii="仿宋" w:eastAsia="仿宋" w:hAnsi="仿宋"/>
          <w:sz w:val="30"/>
          <w:szCs w:val="30"/>
        </w:rPr>
      </w:pPr>
      <w:r>
        <w:rPr>
          <w:rFonts w:ascii="仿宋" w:eastAsia="仿宋" w:hAnsi="仿宋" w:cs="Times New Roman" w:hint="eastAsia"/>
          <w:sz w:val="30"/>
          <w:szCs w:val="30"/>
        </w:rPr>
        <w:t>本行产生信用风险的主要是信贷业务。本行信贷业务政策是遵循国家法律法规，严格执行国家的产业政策，以安全性、流动性、效益性为经营原则，以小额、流动、分散为信贷原则，准确、高效、安全地运作信贷资金，控制关联交易风险，保护存款人和其他客户的合法权益。</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bookmarkStart w:id="25" w:name="_Toc193883045"/>
      <w:r>
        <w:rPr>
          <w:rFonts w:ascii="仿宋" w:eastAsia="仿宋" w:hAnsi="仿宋" w:cs="Tahoma" w:hint="eastAsia"/>
          <w:sz w:val="30"/>
          <w:szCs w:val="30"/>
        </w:rPr>
        <w:t>（三）风险计量、检测和管理信息系统</w:t>
      </w:r>
      <w:bookmarkEnd w:id="25"/>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lastRenderedPageBreak/>
        <w:t>1、风险计量。本行采取客户评级来实现风险计量。本行信用等级评定设定统一的评级标准，并按得分高低分为AAA、AA、A、B、和C共五个等级。</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风险检测。本行采取风险预警的方法来实现风险检测。本行根据各种渠道获得的信息，通过一定的技术手段，对贷款客户的预警信号进行识别，分析、衡量其风险状况，并进行动态监测和早期预警，实现对风险“防患于未然”的一种“防错纠错机制”。</w:t>
      </w:r>
    </w:p>
    <w:p w:rsidR="00B5421D" w:rsidRDefault="00BF1FF1">
      <w:pPr>
        <w:pStyle w:val="a8"/>
        <w:spacing w:before="0" w:beforeAutospacing="0" w:after="0" w:afterAutospacing="0" w:line="600" w:lineRule="exact"/>
        <w:ind w:firstLineChars="200" w:firstLine="600"/>
        <w:rPr>
          <w:rFonts w:ascii="仿宋" w:eastAsia="仿宋" w:hAnsi="仿宋"/>
          <w:sz w:val="30"/>
          <w:szCs w:val="30"/>
        </w:rPr>
      </w:pPr>
      <w:r>
        <w:rPr>
          <w:rFonts w:ascii="仿宋" w:eastAsia="仿宋" w:hAnsi="仿宋" w:cs="Times New Roman" w:hint="eastAsia"/>
          <w:sz w:val="30"/>
          <w:szCs w:val="30"/>
        </w:rPr>
        <w:t>3、管理信息系统。目前，本行的信贷管理系统只对客户贷款的信用情况进行监督。</w:t>
      </w:r>
    </w:p>
    <w:p w:rsidR="00B5421D" w:rsidRDefault="00BF1FF1">
      <w:pPr>
        <w:pStyle w:val="a8"/>
        <w:spacing w:before="0" w:beforeAutospacing="0" w:after="0" w:afterAutospacing="0" w:line="600" w:lineRule="exact"/>
        <w:ind w:firstLineChars="200" w:firstLine="600"/>
        <w:rPr>
          <w:rFonts w:ascii="仿宋" w:eastAsia="仿宋" w:hAnsi="仿宋"/>
          <w:sz w:val="30"/>
          <w:szCs w:val="30"/>
        </w:rPr>
      </w:pPr>
      <w:r>
        <w:rPr>
          <w:rFonts w:ascii="仿宋" w:eastAsia="仿宋" w:hAnsi="仿宋" w:cs="Times New Roman" w:hint="eastAsia"/>
          <w:sz w:val="30"/>
          <w:szCs w:val="30"/>
        </w:rPr>
        <w:t>（四）内部控制和全面审计情况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制定了《信贷管理制度》、《信贷人员责任追究制度》、《客户评级及额度授信办法》、《信贷审批规程》等制度，逐步建立了一个比较完善的内控制度体系。报告期内，发起行侯马农商行每年对本行的信贷业务开展情况进行了全面审计，重点对贷款三查调查真实性、审查审批合规性与风险控制有效性、贷款走款支付合规性与风险控制有效性、贷后管理及有效性、贷款收回与展期、续贷、追加额度合规性与风险控制有效性等等进行审计，通过开展审计，揭示本行存在的缺陷与不足之处，堵塞漏洞。</w:t>
      </w:r>
    </w:p>
    <w:p w:rsidR="00B5421D" w:rsidRDefault="00BF1FF1">
      <w:pPr>
        <w:pStyle w:val="a8"/>
        <w:spacing w:before="0" w:beforeAutospacing="0" w:after="0" w:afterAutospacing="0" w:line="600" w:lineRule="exact"/>
        <w:ind w:firstLineChars="200" w:firstLine="600"/>
        <w:rPr>
          <w:rFonts w:ascii="仿宋" w:eastAsia="仿宋" w:hAnsi="仿宋"/>
          <w:sz w:val="30"/>
          <w:szCs w:val="30"/>
        </w:rPr>
      </w:pPr>
      <w:r>
        <w:rPr>
          <w:rFonts w:ascii="仿宋" w:eastAsia="仿宋" w:hAnsi="仿宋" w:cs="Times New Roman" w:hint="eastAsia"/>
          <w:sz w:val="30"/>
          <w:szCs w:val="30"/>
        </w:rPr>
        <w:t>（五）其他披露情况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1、产生信用风险的业务活动：各类信贷业务活动。</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2、信用风险管理组织结构和职责划分</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253"/>
      </w:tblGrid>
      <w:tr w:rsidR="00B5421D">
        <w:tc>
          <w:tcPr>
            <w:tcW w:w="8253" w:type="dxa"/>
            <w:tcMar>
              <w:top w:w="54" w:type="dxa"/>
              <w:left w:w="107" w:type="dxa"/>
              <w:bottom w:w="54" w:type="dxa"/>
              <w:right w:w="107"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color w:val="404040"/>
                <w:highlight w:val="yellow"/>
              </w:rPr>
            </w:pPr>
            <w:r>
              <w:rPr>
                <w:rStyle w:val="a9"/>
                <w:rFonts w:ascii="仿宋" w:eastAsia="仿宋" w:hAnsi="仿宋" w:hint="eastAsia"/>
                <w:color w:val="404040"/>
              </w:rPr>
              <w:lastRenderedPageBreak/>
              <w:t>董事会</w:t>
            </w:r>
          </w:p>
        </w:tc>
      </w:tr>
    </w:tbl>
    <w:p w:rsidR="00B5421D" w:rsidRDefault="00B5421D">
      <w:pPr>
        <w:spacing w:line="600" w:lineRule="exact"/>
        <w:ind w:firstLineChars="200" w:firstLine="480"/>
        <w:rPr>
          <w:rFonts w:ascii="仿宋" w:eastAsia="仿宋" w:hAnsi="仿宋"/>
          <w:vanish/>
          <w:sz w:val="24"/>
          <w:szCs w:val="24"/>
          <w:highlight w:val="yellow"/>
        </w:rPr>
      </w:pPr>
    </w:p>
    <w:tbl>
      <w:tblPr>
        <w:tblW w:w="8253" w:type="dxa"/>
        <w:tblBorders>
          <w:left w:val="single" w:sz="4" w:space="0" w:color="auto"/>
          <w:right w:val="single" w:sz="4" w:space="0" w:color="auto"/>
        </w:tblBorders>
        <w:tblLayout w:type="fixed"/>
        <w:tblCellMar>
          <w:top w:w="15" w:type="dxa"/>
          <w:left w:w="15" w:type="dxa"/>
          <w:bottom w:w="15" w:type="dxa"/>
          <w:right w:w="15" w:type="dxa"/>
        </w:tblCellMar>
        <w:tblLook w:val="04A0"/>
      </w:tblPr>
      <w:tblGrid>
        <w:gridCol w:w="8253"/>
      </w:tblGrid>
      <w:tr w:rsidR="00B5421D">
        <w:tc>
          <w:tcPr>
            <w:tcW w:w="8253" w:type="dxa"/>
            <w:tcBorders>
              <w:bottom w:val="single" w:sz="4" w:space="0" w:color="auto"/>
            </w:tcBorders>
            <w:tcMar>
              <w:top w:w="54" w:type="dxa"/>
              <w:left w:w="107" w:type="dxa"/>
              <w:bottom w:w="54" w:type="dxa"/>
              <w:right w:w="107"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color w:val="404040"/>
                <w:highlight w:val="yellow"/>
              </w:rPr>
            </w:pPr>
            <w:r>
              <w:rPr>
                <w:rStyle w:val="a9"/>
                <w:rFonts w:ascii="仿宋" w:eastAsia="仿宋" w:hAnsi="仿宋" w:hint="eastAsia"/>
                <w:color w:val="404040"/>
              </w:rPr>
              <w:t>行长</w:t>
            </w:r>
          </w:p>
        </w:tc>
      </w:tr>
    </w:tbl>
    <w:p w:rsidR="00B5421D" w:rsidRDefault="00B5421D">
      <w:pPr>
        <w:spacing w:line="600" w:lineRule="exact"/>
        <w:ind w:firstLineChars="200" w:firstLine="480"/>
        <w:rPr>
          <w:rFonts w:ascii="仿宋" w:eastAsia="仿宋" w:hAnsi="仿宋"/>
          <w:vanish/>
          <w:sz w:val="24"/>
          <w:szCs w:val="24"/>
          <w:highlight w:val="yellow"/>
        </w:rPr>
      </w:pPr>
    </w:p>
    <w:tbl>
      <w:tblPr>
        <w:tblW w:w="8253" w:type="dxa"/>
        <w:tblBorders>
          <w:top w:val="single" w:sz="4" w:space="0" w:color="auto"/>
          <w:left w:val="single" w:sz="4" w:space="0" w:color="auto"/>
          <w:right w:val="single" w:sz="4" w:space="0" w:color="auto"/>
        </w:tblBorders>
        <w:tblLayout w:type="fixed"/>
        <w:tblCellMar>
          <w:top w:w="15" w:type="dxa"/>
          <w:left w:w="15" w:type="dxa"/>
          <w:bottom w:w="15" w:type="dxa"/>
          <w:right w:w="15" w:type="dxa"/>
        </w:tblCellMar>
        <w:tblLook w:val="04A0"/>
      </w:tblPr>
      <w:tblGrid>
        <w:gridCol w:w="8253"/>
      </w:tblGrid>
      <w:tr w:rsidR="00B5421D">
        <w:tc>
          <w:tcPr>
            <w:tcW w:w="8253" w:type="dxa"/>
            <w:tcMar>
              <w:top w:w="54" w:type="dxa"/>
              <w:left w:w="107" w:type="dxa"/>
              <w:bottom w:w="54" w:type="dxa"/>
              <w:right w:w="107"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color w:val="404040"/>
                <w:highlight w:val="yellow"/>
              </w:rPr>
            </w:pPr>
            <w:r>
              <w:rPr>
                <w:rStyle w:val="a9"/>
                <w:rFonts w:ascii="仿宋" w:eastAsia="仿宋" w:hAnsi="仿宋" w:hint="eastAsia"/>
                <w:color w:val="404040"/>
              </w:rPr>
              <w:t>贷审会</w:t>
            </w:r>
          </w:p>
        </w:tc>
      </w:tr>
    </w:tbl>
    <w:p w:rsidR="00B5421D" w:rsidRDefault="00B5421D">
      <w:pPr>
        <w:spacing w:line="600" w:lineRule="exact"/>
        <w:ind w:firstLineChars="200" w:firstLine="480"/>
        <w:rPr>
          <w:rFonts w:ascii="仿宋" w:eastAsia="仿宋" w:hAnsi="仿宋"/>
          <w:vanish/>
          <w:sz w:val="24"/>
          <w:szCs w:val="24"/>
          <w:highlight w:val="yellow"/>
        </w:rPr>
      </w:pP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253"/>
      </w:tblGrid>
      <w:tr w:rsidR="00B5421D">
        <w:tc>
          <w:tcPr>
            <w:tcW w:w="8253" w:type="dxa"/>
            <w:tcMar>
              <w:top w:w="54" w:type="dxa"/>
              <w:left w:w="107" w:type="dxa"/>
              <w:bottom w:w="54" w:type="dxa"/>
              <w:right w:w="107"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color w:val="404040"/>
                <w:highlight w:val="yellow"/>
              </w:rPr>
            </w:pPr>
            <w:r>
              <w:rPr>
                <w:rStyle w:val="a9"/>
                <w:rFonts w:ascii="仿宋" w:eastAsia="仿宋" w:hAnsi="仿宋" w:hint="eastAsia"/>
                <w:color w:val="404040"/>
              </w:rPr>
              <w:t>风险合规部</w:t>
            </w:r>
          </w:p>
        </w:tc>
      </w:tr>
    </w:tbl>
    <w:p w:rsidR="00B5421D" w:rsidRDefault="00B5421D">
      <w:pPr>
        <w:spacing w:line="600" w:lineRule="exact"/>
        <w:ind w:firstLineChars="200" w:firstLine="480"/>
        <w:rPr>
          <w:rFonts w:ascii="仿宋" w:eastAsia="仿宋" w:hAnsi="仿宋"/>
          <w:vanish/>
          <w:sz w:val="24"/>
          <w:szCs w:val="24"/>
          <w:highlight w:val="yellow"/>
        </w:rPr>
      </w:pPr>
    </w:p>
    <w:tbl>
      <w:tblPr>
        <w:tblW w:w="8253" w:type="dxa"/>
        <w:tblBorders>
          <w:left w:val="single" w:sz="4" w:space="0" w:color="auto"/>
          <w:right w:val="single" w:sz="4" w:space="0" w:color="auto"/>
        </w:tblBorders>
        <w:tblLayout w:type="fixed"/>
        <w:tblCellMar>
          <w:top w:w="15" w:type="dxa"/>
          <w:left w:w="15" w:type="dxa"/>
          <w:bottom w:w="15" w:type="dxa"/>
          <w:right w:w="15" w:type="dxa"/>
        </w:tblCellMar>
        <w:tblLook w:val="04A0"/>
      </w:tblPr>
      <w:tblGrid>
        <w:gridCol w:w="8253"/>
      </w:tblGrid>
      <w:tr w:rsidR="00B5421D">
        <w:tc>
          <w:tcPr>
            <w:tcW w:w="8253" w:type="dxa"/>
            <w:tcBorders>
              <w:top w:val="single" w:sz="4" w:space="0" w:color="auto"/>
            </w:tcBorders>
            <w:tcMar>
              <w:top w:w="54" w:type="dxa"/>
              <w:left w:w="107" w:type="dxa"/>
              <w:bottom w:w="54" w:type="dxa"/>
              <w:right w:w="107"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color w:val="404040"/>
                <w:highlight w:val="yellow"/>
              </w:rPr>
            </w:pPr>
            <w:r>
              <w:rPr>
                <w:rStyle w:val="a9"/>
                <w:rFonts w:ascii="仿宋" w:eastAsia="仿宋" w:hAnsi="仿宋" w:hint="eastAsia"/>
                <w:color w:val="404040"/>
              </w:rPr>
              <w:t>信贷管理部</w:t>
            </w:r>
          </w:p>
        </w:tc>
      </w:tr>
    </w:tbl>
    <w:p w:rsidR="00B5421D" w:rsidRDefault="00B5421D">
      <w:pPr>
        <w:spacing w:line="600" w:lineRule="exact"/>
        <w:ind w:firstLineChars="200" w:firstLine="480"/>
        <w:rPr>
          <w:rFonts w:ascii="仿宋" w:eastAsia="仿宋" w:hAnsi="仿宋"/>
          <w:vanish/>
          <w:sz w:val="24"/>
          <w:szCs w:val="24"/>
          <w:highlight w:val="yellow"/>
        </w:rPr>
      </w:pPr>
    </w:p>
    <w:p w:rsidR="00B5421D" w:rsidRDefault="00B5421D">
      <w:pPr>
        <w:spacing w:line="600" w:lineRule="exact"/>
        <w:ind w:firstLineChars="200" w:firstLine="480"/>
        <w:rPr>
          <w:rFonts w:ascii="仿宋" w:eastAsia="仿宋" w:hAnsi="仿宋"/>
          <w:vanish/>
          <w:sz w:val="24"/>
          <w:szCs w:val="24"/>
          <w:highlight w:val="yellow"/>
        </w:rPr>
      </w:pP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253"/>
      </w:tblGrid>
      <w:tr w:rsidR="00B5421D">
        <w:tc>
          <w:tcPr>
            <w:tcW w:w="8253" w:type="dxa"/>
            <w:tcMar>
              <w:top w:w="54" w:type="dxa"/>
              <w:left w:w="107" w:type="dxa"/>
              <w:bottom w:w="54" w:type="dxa"/>
              <w:right w:w="107"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color w:val="404040"/>
                <w:highlight w:val="yellow"/>
              </w:rPr>
            </w:pPr>
            <w:r>
              <w:rPr>
                <w:rStyle w:val="a9"/>
                <w:rFonts w:ascii="仿宋" w:eastAsia="仿宋" w:hAnsi="仿宋" w:hint="eastAsia"/>
                <w:color w:val="404040"/>
              </w:rPr>
              <w:t>各支行、网点</w:t>
            </w:r>
          </w:p>
        </w:tc>
      </w:tr>
    </w:tbl>
    <w:p w:rsidR="00B5421D" w:rsidRDefault="00BF1FF1">
      <w:pPr>
        <w:pStyle w:val="a8"/>
        <w:spacing w:before="0" w:beforeAutospacing="0" w:after="0" w:afterAutospacing="0" w:line="600" w:lineRule="exact"/>
        <w:ind w:firstLineChars="200" w:firstLine="600"/>
        <w:jc w:val="both"/>
        <w:rPr>
          <w:rFonts w:ascii="仿宋" w:eastAsia="仿宋" w:hAnsi="仿宋"/>
          <w:color w:val="404040"/>
          <w:sz w:val="30"/>
          <w:szCs w:val="30"/>
        </w:rPr>
      </w:pPr>
      <w:r>
        <w:rPr>
          <w:rFonts w:ascii="微软雅黑" w:eastAsia="仿宋" w:hAnsi="微软雅黑" w:hint="eastAsia"/>
          <w:color w:val="404040"/>
          <w:sz w:val="30"/>
          <w:szCs w:val="30"/>
        </w:rPr>
        <w:t>各支行、网点主要负责贷款调查、审查、贷后管理、贷款发放、支付的审核与资金监控；信贷管理部主要负责贷款“三查”制度监督落实、信贷产品开发、信贷制度建设、不良贷款风险监测及风险处置等工作；风险合规部主要负责贷款合规风险、道德风险检查；贷审会负责授权范围内贷款的审批；行长负责对授权范围内的贷款进行审批。</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3、资产风险分类的程序和方法。本行依据《商业银行金融资产风险分类办法》，结合本行实际，制定相关制度，信贷资产按照 “五级分类法”来规范资产风险分类管理，采取“按月认定，实时调整”的原则，按月对所有信贷资产进行一次五级分类，同时将信贷资产质量五级分类纳入日常信贷管理工作，根据信贷资产风险变化情况进行实时监控和调整,按月统计汇总上报五级分类结果。本行通过现场查阅和分析手段，获取借款人财务、现金流量、担保、非财务等方面的信息。分类时对影</w:t>
      </w:r>
      <w:r>
        <w:rPr>
          <w:rFonts w:ascii="仿宋" w:eastAsia="仿宋" w:hAnsi="仿宋" w:cs="Times New Roman" w:hint="eastAsia"/>
          <w:sz w:val="30"/>
          <w:szCs w:val="30"/>
        </w:rPr>
        <w:lastRenderedPageBreak/>
        <w:t>响借款人还款能力的各类因素评估结论，作为判定贷款类别的主要依据，并注重第一还款来源。</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4、信用风险分布情况。本行产生信用风险的活动主要是各类信贷业务活动，信用风险主要分布在信贷业务。报告期末，本行正常类贷款61211万元，关注类贷款127万元，次级类42万元，可疑类882万元。</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sidRPr="0041154E">
        <w:rPr>
          <w:rFonts w:ascii="仿宋" w:eastAsia="仿宋" w:hAnsi="仿宋" w:cs="Times New Roman" w:hint="eastAsia"/>
          <w:sz w:val="30"/>
          <w:szCs w:val="30"/>
        </w:rPr>
        <w:t>5、信用风险集中度。报告期末，本行最大单一客户贷款比例为</w:t>
      </w:r>
      <w:r w:rsidR="006A2A9F" w:rsidRPr="0041154E">
        <w:rPr>
          <w:rFonts w:ascii="仿宋" w:eastAsia="仿宋" w:hAnsi="仿宋" w:cs="Times New Roman" w:hint="eastAsia"/>
          <w:sz w:val="30"/>
          <w:szCs w:val="30"/>
        </w:rPr>
        <w:t>5.63</w:t>
      </w:r>
      <w:r w:rsidRPr="0041154E">
        <w:rPr>
          <w:rFonts w:ascii="仿宋" w:eastAsia="仿宋" w:hAnsi="仿宋" w:cs="Times New Roman" w:hint="eastAsia"/>
          <w:sz w:val="30"/>
          <w:szCs w:val="30"/>
        </w:rPr>
        <w:t>%。</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6、逾期贷款的账龄分析。报告期末，本行逾期贷款共计84户，逾期金额为1051万元。其中：逾期90天以内的贷款为127万元，逾期91天到360天贷款为76万元，逾期361天以上贷款为848万元。</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7、贷款重组。报告期内，没有贷款重组情况。</w:t>
      </w:r>
    </w:p>
    <w:p w:rsidR="00B5421D" w:rsidRDefault="00BF1FF1">
      <w:pPr>
        <w:pStyle w:val="2"/>
        <w:spacing w:line="600" w:lineRule="exact"/>
        <w:ind w:firstLineChars="200" w:firstLine="602"/>
        <w:jc w:val="both"/>
        <w:rPr>
          <w:rFonts w:ascii="仿宋" w:eastAsia="仿宋" w:hAnsi="仿宋"/>
          <w:sz w:val="30"/>
          <w:szCs w:val="30"/>
        </w:rPr>
      </w:pPr>
      <w:r>
        <w:rPr>
          <w:rStyle w:val="a9"/>
          <w:rFonts w:ascii="Arial" w:eastAsia="仿宋" w:hAnsi="Arial" w:cs="Arial"/>
          <w:b/>
          <w:bCs/>
          <w:sz w:val="30"/>
          <w:szCs w:val="30"/>
        </w:rPr>
        <w:t>   </w:t>
      </w:r>
      <w:r>
        <w:rPr>
          <w:rStyle w:val="apple-converted-space"/>
          <w:rFonts w:ascii="Arial" w:eastAsia="仿宋" w:hAnsi="Arial" w:cs="Arial"/>
          <w:sz w:val="30"/>
          <w:szCs w:val="30"/>
        </w:rPr>
        <w:t> </w:t>
      </w:r>
      <w:bookmarkStart w:id="26" w:name="_Toc481080005"/>
      <w:r>
        <w:rPr>
          <w:rStyle w:val="a9"/>
          <w:rFonts w:ascii="仿宋" w:eastAsia="仿宋" w:hAnsi="仿宋" w:cs="Arial" w:hint="eastAsia"/>
          <w:sz w:val="30"/>
          <w:szCs w:val="30"/>
        </w:rPr>
        <w:t>二、</w:t>
      </w:r>
      <w:bookmarkEnd w:id="26"/>
      <w:r>
        <w:rPr>
          <w:rStyle w:val="a9"/>
          <w:rFonts w:ascii="仿宋" w:eastAsia="仿宋" w:hAnsi="仿宋" w:cs="Arial" w:hint="eastAsia"/>
          <w:b/>
          <w:bCs/>
          <w:sz w:val="30"/>
          <w:szCs w:val="30"/>
        </w:rPr>
        <w:t>流动性风险状况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流动性风险指商业银行不能满足存款支取和合理的贷款发放而给银行自身业务所带来的影响</w:t>
      </w:r>
      <w:bookmarkStart w:id="27" w:name="_Toc227401527"/>
      <w:bookmarkStart w:id="28" w:name="_Toc193883048"/>
      <w:bookmarkEnd w:id="27"/>
      <w:r>
        <w:rPr>
          <w:rFonts w:ascii="仿宋" w:eastAsia="仿宋" w:hAnsi="仿宋" w:cs="Tahoma" w:hint="eastAsia"/>
          <w:sz w:val="30"/>
          <w:szCs w:val="30"/>
        </w:rPr>
        <w:t>。影响流动性的因素主要包括：“短存长贷”为特征的期限结构匹配不当是造成银行流动性风险的内在根本原因；在以存款准备金率、利率、不良贷款率为冲击因素的动态压力测试中, 存款准备金率对银行流动性冲击最大,其次才是利率的冲击,而不良贷款率因素是伴随上述冲击同时发生的。</w:t>
      </w:r>
      <w:bookmarkEnd w:id="28"/>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（一）董事会、经营管理层对流动性风险的监控能力</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bookmarkStart w:id="29" w:name="_Toc227401528"/>
      <w:bookmarkStart w:id="30" w:name="_Toc322415023"/>
      <w:bookmarkStart w:id="31" w:name="_Toc193883049"/>
      <w:bookmarkEnd w:id="29"/>
      <w:bookmarkEnd w:id="30"/>
      <w:r>
        <w:rPr>
          <w:rFonts w:ascii="仿宋" w:eastAsia="仿宋" w:hAnsi="仿宋" w:cs="Tahoma" w:hint="eastAsia"/>
          <w:sz w:val="30"/>
          <w:szCs w:val="30"/>
        </w:rPr>
        <w:lastRenderedPageBreak/>
        <w:t>本行董事会、经营管理层通过加强流动性风险日常监测，重点监测存款来源、贷款期限结构、现金头寸、流动性与备付率等指标的变化情况，及时发现风险，做好流动性风险预警和风险提示，开展压力测试，提示和识别风险，提前采取防范措施。</w:t>
      </w:r>
      <w:bookmarkEnd w:id="31"/>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（二）风险管理的政策和程序</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1、管理政策。本行严格遵守《商业银行法》规定的安全性、流动性、效益性的经营原则，在确保资金安全和正常流动的前提下,实现盈利。</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2、管理程序。本行计划财务部是本行流动性风险管理的监测部门，负责对流动性进行系统深入的管理和控制。在管理程序上，本行明确流动性管理的目标，包括新增存贷款、存贷比例等，计划财务部负责跟踪分析流动性需求和流动性供给，避免流动性头寸过量或不足。在日常业务管理中，计划财务部监测流动性风险,一旦发现风险达到警戒线就及时向领导报告，发出预警信号。同时，建立流动性风险处置预案,提高避险能力,一旦预警,将在限定时间内采取有效地措施进行补救,尽量把风险控制在最小范围内。</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（三）风险计量、检测和管理信息系统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流动性风险暂无风险计量、检测和管理信息系统。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（四）内部控制和全面审计情况</w:t>
      </w:r>
    </w:p>
    <w:p w:rsidR="00B5421D" w:rsidRDefault="00BF1FF1">
      <w:pPr>
        <w:spacing w:line="60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本行已制定《流动性风险管理办法》、《流动性风险及重大突发事件应急预案》等制度，逐步健全了应对流动性风险的</w:t>
      </w:r>
      <w:r>
        <w:rPr>
          <w:rFonts w:ascii="仿宋" w:eastAsia="仿宋" w:hAnsi="仿宋" w:cs="Tahoma" w:hint="eastAsia"/>
          <w:sz w:val="30"/>
          <w:szCs w:val="30"/>
        </w:rPr>
        <w:lastRenderedPageBreak/>
        <w:t>预警机制，提高防范流动性风险的能力。报告期内，本行大力吸收储蓄存款，确保存款的稳</w:t>
      </w:r>
      <w:r w:rsidRPr="0041154E">
        <w:rPr>
          <w:rFonts w:ascii="仿宋" w:eastAsia="仿宋" w:hAnsi="仿宋" w:cs="Tahoma" w:hint="eastAsia"/>
          <w:sz w:val="30"/>
          <w:szCs w:val="30"/>
        </w:rPr>
        <w:t>定性。</w:t>
      </w:r>
      <w:bookmarkStart w:id="32" w:name="_Toc227401530"/>
      <w:bookmarkStart w:id="33" w:name="_Toc193883052"/>
      <w:bookmarkEnd w:id="32"/>
      <w:bookmarkEnd w:id="33"/>
      <w:r w:rsidRPr="0041154E">
        <w:rPr>
          <w:rFonts w:ascii="仿宋" w:eastAsia="仿宋" w:hAnsi="仿宋" w:cs="Tahoma" w:hint="eastAsia"/>
          <w:sz w:val="30"/>
          <w:szCs w:val="30"/>
        </w:rPr>
        <w:t>20</w:t>
      </w:r>
      <w:r w:rsidR="0041154E" w:rsidRPr="0041154E">
        <w:rPr>
          <w:rFonts w:ascii="仿宋" w:eastAsia="仿宋" w:hAnsi="仿宋" w:cs="Tahoma" w:hint="eastAsia"/>
          <w:sz w:val="30"/>
          <w:szCs w:val="30"/>
        </w:rPr>
        <w:t>24</w:t>
      </w:r>
      <w:r w:rsidRPr="0041154E">
        <w:rPr>
          <w:rFonts w:ascii="仿宋" w:eastAsia="仿宋" w:hAnsi="仿宋" w:cs="Tahoma" w:hint="eastAsia"/>
          <w:sz w:val="30"/>
          <w:szCs w:val="30"/>
        </w:rPr>
        <w:t>年末，本行储蓄存款余额占存款余额的</w:t>
      </w:r>
      <w:r w:rsidR="0041154E" w:rsidRPr="0041154E">
        <w:rPr>
          <w:rFonts w:ascii="仿宋" w:eastAsia="仿宋" w:hAnsi="仿宋" w:cs="Tahoma" w:hint="eastAsia"/>
          <w:sz w:val="30"/>
          <w:szCs w:val="30"/>
        </w:rPr>
        <w:t>96.66</w:t>
      </w:r>
      <w:r w:rsidRPr="0041154E">
        <w:rPr>
          <w:rFonts w:ascii="仿宋" w:eastAsia="仿宋" w:hAnsi="仿宋" w:cs="Tahoma" w:hint="eastAsia"/>
          <w:sz w:val="30"/>
          <w:szCs w:val="30"/>
        </w:rPr>
        <w:t>%，其中定期储蓄存款占储蓄存款的</w:t>
      </w:r>
      <w:r w:rsidR="0041154E" w:rsidRPr="0041154E">
        <w:rPr>
          <w:rFonts w:ascii="仿宋" w:eastAsia="仿宋" w:hAnsi="仿宋" w:cs="Tahoma" w:hint="eastAsia"/>
          <w:sz w:val="30"/>
          <w:szCs w:val="30"/>
        </w:rPr>
        <w:t>93.58</w:t>
      </w:r>
      <w:r w:rsidRPr="0041154E">
        <w:rPr>
          <w:rFonts w:ascii="仿宋" w:eastAsia="仿宋" w:hAnsi="仿宋" w:cs="Tahoma" w:hint="eastAsia"/>
          <w:sz w:val="30"/>
          <w:szCs w:val="30"/>
        </w:rPr>
        <w:t>%。本行的流动性资产为</w:t>
      </w:r>
      <w:r w:rsidR="0041154E" w:rsidRPr="0041154E">
        <w:rPr>
          <w:rFonts w:ascii="仿宋" w:eastAsia="仿宋" w:hAnsi="仿宋" w:cs="Tahoma" w:hint="eastAsia"/>
          <w:sz w:val="30"/>
          <w:szCs w:val="30"/>
        </w:rPr>
        <w:t>66523</w:t>
      </w:r>
      <w:r w:rsidRPr="0041154E">
        <w:rPr>
          <w:rFonts w:ascii="仿宋" w:eastAsia="仿宋" w:hAnsi="仿宋" w:cs="Tahoma" w:hint="eastAsia"/>
          <w:sz w:val="30"/>
          <w:szCs w:val="30"/>
        </w:rPr>
        <w:t>万元，流动性负债为</w:t>
      </w:r>
      <w:r w:rsidR="0041154E" w:rsidRPr="0041154E">
        <w:rPr>
          <w:rFonts w:ascii="仿宋" w:eastAsia="仿宋" w:hAnsi="仿宋" w:cs="Tahoma" w:hint="eastAsia"/>
          <w:sz w:val="30"/>
          <w:szCs w:val="30"/>
        </w:rPr>
        <w:t>16961</w:t>
      </w:r>
      <w:r w:rsidRPr="0041154E">
        <w:rPr>
          <w:rFonts w:ascii="仿宋" w:eastAsia="仿宋" w:hAnsi="仿宋" w:cs="Tahoma" w:hint="eastAsia"/>
          <w:sz w:val="30"/>
          <w:szCs w:val="30"/>
        </w:rPr>
        <w:t>万元，资产负债比为</w:t>
      </w:r>
      <w:r w:rsidR="0041154E" w:rsidRPr="0041154E">
        <w:rPr>
          <w:rFonts w:ascii="仿宋" w:eastAsia="仿宋" w:hAnsi="仿宋" w:cs="Tahoma" w:hint="eastAsia"/>
          <w:sz w:val="30"/>
          <w:szCs w:val="30"/>
        </w:rPr>
        <w:t>94.30</w:t>
      </w:r>
      <w:r w:rsidRPr="0041154E">
        <w:rPr>
          <w:rFonts w:ascii="仿宋" w:eastAsia="仿宋" w:hAnsi="仿宋" w:cs="Tahoma" w:hint="eastAsia"/>
          <w:sz w:val="30"/>
          <w:szCs w:val="30"/>
        </w:rPr>
        <w:t>%，存贷比例为</w:t>
      </w:r>
      <w:r w:rsidR="0041154E" w:rsidRPr="0041154E">
        <w:rPr>
          <w:rFonts w:ascii="仿宋" w:eastAsia="仿宋" w:hAnsi="仿宋" w:cs="Tahoma" w:hint="eastAsia"/>
          <w:sz w:val="30"/>
          <w:szCs w:val="30"/>
        </w:rPr>
        <w:t>52.37</w:t>
      </w:r>
      <w:r w:rsidRPr="0041154E">
        <w:rPr>
          <w:rFonts w:ascii="仿宋" w:eastAsia="仿宋" w:hAnsi="仿宋" w:cs="Tahoma" w:hint="eastAsia"/>
          <w:sz w:val="30"/>
          <w:szCs w:val="30"/>
        </w:rPr>
        <w:t>%，流动性比例为</w:t>
      </w:r>
      <w:r w:rsidR="0041154E" w:rsidRPr="0041154E">
        <w:rPr>
          <w:rFonts w:ascii="仿宋" w:eastAsia="仿宋" w:hAnsi="仿宋" w:cs="Tahoma" w:hint="eastAsia"/>
          <w:sz w:val="30"/>
          <w:szCs w:val="30"/>
        </w:rPr>
        <w:t>392.20</w:t>
      </w:r>
      <w:r w:rsidRPr="0041154E">
        <w:rPr>
          <w:rFonts w:ascii="仿宋" w:eastAsia="仿宋" w:hAnsi="仿宋" w:cs="Tahoma" w:hint="eastAsia"/>
          <w:sz w:val="30"/>
          <w:szCs w:val="30"/>
        </w:rPr>
        <w:t>%，流动性缺口率</w:t>
      </w:r>
      <w:r w:rsidR="0041154E" w:rsidRPr="0041154E">
        <w:rPr>
          <w:rFonts w:ascii="仿宋" w:eastAsia="仿宋" w:hAnsi="仿宋" w:cs="Tahoma" w:hint="eastAsia"/>
          <w:sz w:val="30"/>
          <w:szCs w:val="30"/>
        </w:rPr>
        <w:t>68.72</w:t>
      </w:r>
      <w:r w:rsidRPr="0041154E">
        <w:rPr>
          <w:rFonts w:ascii="仿宋" w:eastAsia="仿宋" w:hAnsi="仿宋" w:cs="Tahoma" w:hint="eastAsia"/>
          <w:sz w:val="30"/>
          <w:szCs w:val="30"/>
        </w:rPr>
        <w:t>%，核心负债依存度为</w:t>
      </w:r>
      <w:r w:rsidR="0041154E" w:rsidRPr="0041154E">
        <w:rPr>
          <w:rFonts w:ascii="仿宋" w:eastAsia="仿宋" w:hAnsi="仿宋" w:cs="Tahoma" w:hint="eastAsia"/>
          <w:sz w:val="30"/>
          <w:szCs w:val="30"/>
        </w:rPr>
        <w:t>78.31</w:t>
      </w:r>
      <w:r w:rsidRPr="0041154E">
        <w:rPr>
          <w:rFonts w:ascii="仿宋" w:eastAsia="仿宋" w:hAnsi="仿宋" w:cs="Tahoma" w:hint="eastAsia"/>
          <w:sz w:val="30"/>
          <w:szCs w:val="30"/>
        </w:rPr>
        <w:t>%，流动性风险基本可控。</w:t>
      </w:r>
    </w:p>
    <w:p w:rsidR="00B5421D" w:rsidRDefault="00BF1FF1">
      <w:pPr>
        <w:pStyle w:val="20"/>
        <w:spacing w:before="0" w:beforeAutospacing="0" w:after="120" w:afterAutospacing="0" w:line="600" w:lineRule="exact"/>
        <w:ind w:left="420" w:firstLineChars="200" w:firstLine="602"/>
        <w:jc w:val="both"/>
        <w:rPr>
          <w:rFonts w:ascii="仿宋" w:eastAsia="仿宋" w:hAnsi="仿宋"/>
          <w:sz w:val="30"/>
          <w:szCs w:val="30"/>
        </w:rPr>
      </w:pPr>
      <w:r>
        <w:rPr>
          <w:rStyle w:val="a9"/>
          <w:rFonts w:ascii="Tahoma" w:eastAsia="仿宋" w:hAnsi="Tahoma" w:cs="Tahoma"/>
          <w:sz w:val="30"/>
          <w:szCs w:val="30"/>
        </w:rPr>
        <w:t> </w:t>
      </w:r>
      <w:bookmarkStart w:id="34" w:name="_Toc481080006"/>
      <w:r>
        <w:rPr>
          <w:rStyle w:val="a9"/>
          <w:rFonts w:ascii="仿宋" w:eastAsia="仿宋" w:hAnsi="仿宋" w:cs="Tahoma" w:hint="eastAsia"/>
          <w:sz w:val="30"/>
          <w:szCs w:val="30"/>
        </w:rPr>
        <w:t>三、</w:t>
      </w:r>
      <w:bookmarkEnd w:id="34"/>
      <w:r>
        <w:rPr>
          <w:rStyle w:val="a9"/>
          <w:rFonts w:ascii="仿宋" w:eastAsia="仿宋" w:hAnsi="仿宋" w:cs="Tahoma" w:hint="eastAsia"/>
          <w:sz w:val="30"/>
          <w:szCs w:val="30"/>
        </w:rPr>
        <w:t>市场风险状况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bookmarkStart w:id="35" w:name="_Toc227401531"/>
      <w:bookmarkStart w:id="36" w:name="_Toc193883053"/>
      <w:bookmarkEnd w:id="35"/>
      <w:r>
        <w:rPr>
          <w:rFonts w:ascii="仿宋" w:eastAsia="仿宋" w:hAnsi="仿宋" w:cs="Tahoma" w:hint="eastAsia"/>
          <w:sz w:val="30"/>
          <w:szCs w:val="30"/>
        </w:rPr>
        <w:t>市场风险是指因市场价格（利率、汇率、股票价格和商品价格）的不利变动而使本行表内和表外业务发生损失的风险。</w:t>
      </w:r>
      <w:bookmarkEnd w:id="36"/>
      <w:r>
        <w:rPr>
          <w:rFonts w:ascii="仿宋" w:eastAsia="仿宋" w:hAnsi="仿宋" w:cs="Tahoma" w:hint="eastAsia"/>
          <w:sz w:val="30"/>
          <w:szCs w:val="30"/>
        </w:rPr>
        <w:t>本行目前的主要的利润来源仍是存贷款利差，因此市场利率波动对本行财务状况和现金流量有直接的影响。为降低利率风险，本行根据利率政策和经营环境的变化，本行实行利率浮动幅度范围内的差异化定价，改进贷款定价机制，加强成本分析和管理。本行进一步加强业务创新，改善收入结构，规避利率风险。</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bookmarkStart w:id="37" w:name="_Toc322415025"/>
      <w:r>
        <w:rPr>
          <w:rFonts w:ascii="仿宋" w:eastAsia="仿宋" w:hAnsi="仿宋" w:cs="Tahoma" w:hint="eastAsia"/>
          <w:sz w:val="30"/>
          <w:szCs w:val="30"/>
        </w:rPr>
        <w:t>（一）董事会、经营管理层对市场风险的监控能力</w:t>
      </w:r>
      <w:bookmarkEnd w:id="37"/>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面临的市场风险主要是利率风险。为加强对利率风险的防范，本行董事会和经营管理层坚持流动性原则，以减少因贷款周期过长产生的重新定价风险；同时本行按照风险收益相匹配的原则，综合区域内资金供求状况、竞争状况及自身风险抵偿情况等因素，实行利率浮动幅度范围内的差异化定价。</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bookmarkStart w:id="38" w:name="_Toc322415026"/>
      <w:bookmarkStart w:id="39" w:name="_Toc227401532"/>
      <w:bookmarkStart w:id="40" w:name="_Toc193883054"/>
      <w:bookmarkEnd w:id="38"/>
      <w:bookmarkEnd w:id="39"/>
      <w:r>
        <w:rPr>
          <w:rFonts w:ascii="仿宋" w:eastAsia="仿宋" w:hAnsi="仿宋" w:cs="Tahoma" w:hint="eastAsia"/>
          <w:sz w:val="30"/>
          <w:szCs w:val="30"/>
        </w:rPr>
        <w:lastRenderedPageBreak/>
        <w:t>（二）风险管理的政策和程序</w:t>
      </w:r>
      <w:bookmarkEnd w:id="40"/>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1、管理政策。利率风险是整个金融市场中最重要的风险。本行在贷款利率定价时坚持收益覆盖风险的原则。</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管理程序。董事会负责审批利率定价战略，确定本行可以承受的市场风险水平，督促高级管理层采取必要的措施识别、计量、监测和控制利率风险。本行利率定价管理委员会负责制定、定期审查和监督执行利率风险管理的政策、程序以及具体的操作规程，建立和完善科学的贷款利率定价机制，规范本行人民币贷款利率管理，及时了解市场风险水平及其管理状况。高级管理层负责制定、定期审查和监督执行市场风险管理的政策、程序以及具体的操作规程，及时了解市场风险水平及其管理状况，并有效监督主管业务部门识别、计量、监测和控制各项业务所承担的各类市场风险。本行可以开展的业务有：可以交易或投资的金融工具，可以采取的投资、保值和风险缓解策略和方法；开展市场风险管理组织结构、权限结构和责任机制；市场风险资本的分配等。</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（三）风险计量、检测和管理信息系统。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市场风险暂无风险计量、检测和管理信息系统。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（四）内部控制和全面审计情况。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1、内控制度建设情况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本行已制定《临猗新田村镇银行存款利率定价管理办法》、《临猗新田村镇银行贷款利率定价管理办法》，初步建立了市场风险管理方面的基本内控规范框架制度。</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lastRenderedPageBreak/>
        <w:t>2、全面审计情况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一是本行服务价格行为严格遵守国家法律、法规、规章和有关监管规定，遵循公开、公平、诚实、信用的原则，遵循合规收费、以质定价、公开透明、减费让利的原则，遵循“七不准”和“四公开”的原则，接受社会监督，使银行服务持续发展与承担社会责任相统一。同时，本行能及时准确向人民银行报送利率监测报备信息，积极配合人民银行做好各项有关利率政策的调研工作，未出现错报、漏报的现象。</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二是本行的存款挂牌利率和实际执行利率均不高于市场利率定价自律机制规定的存款利率浮动区间上限，存款利率浮动幅度在基准利率1.5倍以内。</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三是本行根据不同客户对象、贷款品种、贷款方式、贷款期限、风险种类等，在进行成本、风险、收益等精细化核算的基础上实行差别化定价，在本行利率浮动的范围内进行贷款定价。政策性贷款业务，如脱贫人口小额信贷等，参照人民银行近期公布的一年期LPR利率执行。贴现贷款利率参照人民银行有关规定，结合市场利率水平确定。报告期内，本行利率风险敏感度为零，符合监管要求，累计外汇敞口头寸比例为零，市场风险基本可控。</w:t>
      </w:r>
    </w:p>
    <w:p w:rsidR="00B5421D" w:rsidRDefault="00BF1FF1">
      <w:pPr>
        <w:pStyle w:val="2"/>
        <w:spacing w:line="600" w:lineRule="exact"/>
        <w:ind w:firstLineChars="200" w:firstLine="602"/>
        <w:jc w:val="both"/>
        <w:rPr>
          <w:rFonts w:ascii="仿宋" w:eastAsia="仿宋" w:hAnsi="仿宋"/>
          <w:sz w:val="30"/>
          <w:szCs w:val="30"/>
        </w:rPr>
      </w:pPr>
      <w:bookmarkStart w:id="41" w:name="_Toc227401535"/>
      <w:bookmarkStart w:id="42" w:name="_Toc193883057"/>
      <w:bookmarkEnd w:id="41"/>
      <w:r>
        <w:rPr>
          <w:rStyle w:val="a9"/>
          <w:rFonts w:ascii="Arial" w:eastAsia="仿宋" w:hAnsi="Arial" w:cs="Arial"/>
          <w:b/>
          <w:bCs/>
          <w:sz w:val="30"/>
          <w:szCs w:val="30"/>
        </w:rPr>
        <w:t>   </w:t>
      </w:r>
      <w:r>
        <w:rPr>
          <w:rStyle w:val="apple-converted-space"/>
          <w:rFonts w:ascii="Arial" w:eastAsia="仿宋" w:hAnsi="Arial" w:cs="Arial"/>
          <w:sz w:val="30"/>
          <w:szCs w:val="30"/>
        </w:rPr>
        <w:t> </w:t>
      </w:r>
      <w:bookmarkStart w:id="43" w:name="_Toc481080007"/>
      <w:bookmarkEnd w:id="42"/>
      <w:r>
        <w:rPr>
          <w:rStyle w:val="a9"/>
          <w:rFonts w:ascii="仿宋" w:eastAsia="仿宋" w:hAnsi="仿宋" w:cs="Arial" w:hint="eastAsia"/>
          <w:b/>
          <w:bCs/>
          <w:sz w:val="30"/>
          <w:szCs w:val="30"/>
        </w:rPr>
        <w:t>四、操作风险状况</w:t>
      </w:r>
      <w:bookmarkEnd w:id="43"/>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操作风险是指由于控制、系统及运营过程的错误或疏忽而可能引致潜在损失的风险。本行对各项业务操作制定了控制及</w:t>
      </w:r>
      <w:r>
        <w:rPr>
          <w:rFonts w:ascii="仿宋" w:eastAsia="仿宋" w:hAnsi="仿宋" w:cs="Tahoma" w:hint="eastAsia"/>
          <w:sz w:val="30"/>
          <w:szCs w:val="30"/>
        </w:rPr>
        <w:lastRenderedPageBreak/>
        <w:t>风险管理措施，包括制度、环境、设施等方面。但任何的控制都可能因自身及外界环境的变化、当事者对某项事务的认知程度不够、制度执行不严格等原因，导致失去或减小效力，形成操作风险。</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坚持一级法人管理体制，已建立了股东会、董事会、监事会和高级管理层之间的权力制衡与利益制衡机制、科学决策机制与激励约束机制，形成了较为完善的经营决策、人力资源管理、风险控制、内部审计、信息披露和激励约束等运行管理体系。</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本行经营层着力完善内控体系，提高内审监督的力度，开展内部控制评估，及时、有效揭示风险隐患，实现依法合规经营。</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（一）董事会、经营管理层对风险的监控能力</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为防范操作风险，本行董事会、经营管理层贯彻落实岗位轮换、亲属回避及员工家访、员工行为排查等制度，从源头上控制操作风险的发生。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（二）风险管理的政策和程序</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1、管理政策。本行坚持依法合规经营，制定了《临猗新田村镇银行大额风险暴露管理办法》，坚持在风险可控的前提下开展各项业务。</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2、管理程序。董事会负责确定本行可以承受的操作风险水平，督促高级管理层采取必要的措施识别、计量、监测和控制操作风险。本行经营管理层负责制定、定期审查和监督执行操</w:t>
      </w:r>
      <w:r>
        <w:rPr>
          <w:rFonts w:ascii="仿宋" w:eastAsia="仿宋" w:hAnsi="仿宋" w:cs="Tahoma" w:hint="eastAsia"/>
          <w:sz w:val="30"/>
          <w:szCs w:val="30"/>
        </w:rPr>
        <w:lastRenderedPageBreak/>
        <w:t>作风险管理的具体的操作规程，及时了解操作风险水平及其管理状况。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（三）内部控制和全面审计情况</w:t>
      </w:r>
    </w:p>
    <w:p w:rsidR="00B5421D" w:rsidRDefault="00BF1FF1">
      <w:pPr>
        <w:spacing w:line="600" w:lineRule="exact"/>
        <w:ind w:firstLineChars="200" w:firstLine="600"/>
        <w:rPr>
          <w:rFonts w:ascii="仿宋" w:eastAsia="仿宋" w:hAnsi="仿宋"/>
          <w:sz w:val="30"/>
          <w:szCs w:val="30"/>
        </w:rPr>
      </w:pPr>
      <w:r>
        <w:rPr>
          <w:rFonts w:ascii="仿宋" w:eastAsia="仿宋" w:hAnsi="仿宋" w:hint="eastAsia"/>
          <w:sz w:val="30"/>
          <w:szCs w:val="30"/>
        </w:rPr>
        <w:t>及时根据国家法律法规、监管政策及行业标准，结合自身业务特点，不断制定完善各项内控制度。从信贷业务的贷前调查、贷中审查、贷后管理，到储蓄业务的开户、存取款、转账等环节，均有明确的操作规范与合规要求。制度内容涵盖全面风险管理、安全管理操作、反洗钱、征信业务、不良处置、抵债资产管理、资产风险分类及消费者权益保护等重点领域，确保各项业务有章可循，有效降低了合规风险。</w:t>
      </w:r>
    </w:p>
    <w:p w:rsidR="00B5421D" w:rsidRDefault="00BF1FF1">
      <w:pPr>
        <w:spacing w:line="600" w:lineRule="exact"/>
        <w:ind w:firstLineChars="200" w:firstLine="600"/>
        <w:rPr>
          <w:rFonts w:ascii="仿宋" w:eastAsia="仿宋" w:hAnsi="仿宋"/>
          <w:sz w:val="30"/>
          <w:szCs w:val="30"/>
          <w:highlight w:val="yellow"/>
        </w:rPr>
      </w:pPr>
      <w:r>
        <w:rPr>
          <w:rFonts w:ascii="仿宋" w:eastAsia="仿宋" w:hAnsi="仿宋" w:hint="eastAsia"/>
          <w:sz w:val="30"/>
          <w:szCs w:val="30"/>
        </w:rPr>
        <w:t>我行明确合规部门具有独立性与权威性，赋予其对全行各项业务进行合规审查、监督检查、风险评估等职责，定期开展全面审计与专项审计相结合，深入挖掘风险隐患。明确各业务条线定期对各自业务操作进行自查自纠，发现问题及时整改，并将自查情况报告合规部门。做到了合规部门前置审查，业务开展符合法律法规，业务条线自我监督，形成主动防控意识。全年</w:t>
      </w:r>
      <w:r>
        <w:rPr>
          <w:rFonts w:ascii="仿宋" w:eastAsia="仿宋" w:hAnsi="仿宋" w:cs="??_GB2312" w:hint="eastAsia"/>
          <w:sz w:val="30"/>
          <w:szCs w:val="30"/>
        </w:rPr>
        <w:t>采取实地核实、调阅资料、翻阅监控等方式，</w:t>
      </w:r>
      <w:r>
        <w:rPr>
          <w:rFonts w:ascii="仿宋" w:eastAsia="仿宋" w:hAnsi="仿宋" w:hint="eastAsia"/>
          <w:sz w:val="30"/>
          <w:szCs w:val="30"/>
        </w:rPr>
        <w:t>共开展业务监督检查工作20余项，包括但不限于常规稽核、安全检查、突击检查、专项检查等。通过不断开展自查、检查工作，</w:t>
      </w:r>
      <w:r>
        <w:rPr>
          <w:rFonts w:ascii="仿宋" w:eastAsia="仿宋" w:hAnsi="仿宋" w:cs="仿宋_GB2312" w:hint="eastAsia"/>
          <w:sz w:val="30"/>
          <w:szCs w:val="30"/>
        </w:rPr>
        <w:t>持续加强我行关键岗位、敏感环节的各项监督检查。确保形成</w:t>
      </w:r>
      <w:r>
        <w:rPr>
          <w:rFonts w:ascii="仿宋" w:eastAsia="仿宋" w:hAnsi="仿宋" w:cs="Times New Roman" w:hint="eastAsia"/>
          <w:sz w:val="30"/>
          <w:szCs w:val="30"/>
        </w:rPr>
        <w:t>以风险合规部牵头主抓、部室联动配合、网点上下联动形成“大案防”机制，促进全行合规经营、按章办事的自觉性。</w:t>
      </w:r>
    </w:p>
    <w:p w:rsidR="00B5421D" w:rsidRDefault="00BF1FF1">
      <w:pPr>
        <w:spacing w:line="600" w:lineRule="exact"/>
        <w:ind w:firstLineChars="200" w:firstLine="602"/>
        <w:rPr>
          <w:rFonts w:ascii="仿宋" w:eastAsia="仿宋" w:hAnsi="仿宋"/>
          <w:sz w:val="30"/>
          <w:szCs w:val="30"/>
        </w:rPr>
      </w:pPr>
      <w:r>
        <w:rPr>
          <w:rStyle w:val="a9"/>
          <w:rFonts w:ascii="仿宋" w:eastAsia="仿宋" w:hAnsi="仿宋" w:cs="Arial" w:hint="eastAsia"/>
          <w:sz w:val="30"/>
          <w:szCs w:val="30"/>
        </w:rPr>
        <w:lastRenderedPageBreak/>
        <w:t>五、声誉风险状况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声誉风险是指由本行经营、管理及其他行为或外部事件导致利益相关方对本行负面评价的风险。</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（一）董事会、经营管理层对风险的监控能力</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董事会和经营管理层坚决贯彻落实有关法律法规和各项规章制度，落实责任，强化措施，通过监测、识别、评估、预警、报告及处置等程序，实现舆情信息管理，提高了声誉风险预警能力及 化解能力。</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（二）风险管理的政策和程序</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1、管理政策。本行建立健全了声誉风险管理体系，制定了《临猗新田村镇银行声誉风险管理办法》，通过日常声誉风险管理和对声誉事件的妥善处置，实现对声誉风险的有效管控。</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2、管理程序。本行董事会承担全行声誉风险管理的最终责任，经营管理层负责领导全行的声誉风险管理工作，总行风险合规部是全行声誉风险的牵头管理部门，总行各部门对本部门业务职责范围内的声誉风险管理负有直接责任，各网点负责本机构内的声誉风险管理工作。</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（三）风险计量、检测和管理信息系统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本行暂无声誉风险计量、检测和管理信息系统。</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（四）内部控制和全面审计情况</w:t>
      </w:r>
    </w:p>
    <w:p w:rsidR="00B5421D" w:rsidRDefault="00BF1FF1">
      <w:pPr>
        <w:pStyle w:val="20"/>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ahoma" w:hint="eastAsia"/>
          <w:sz w:val="30"/>
          <w:szCs w:val="30"/>
        </w:rPr>
        <w:t>本行制定了《声誉风险管理办法》、《舆情风险应急预案》，通过设立专人负责舆情监测工作，确保一旦发现负面舆</w:t>
      </w:r>
      <w:r>
        <w:rPr>
          <w:rFonts w:ascii="仿宋" w:eastAsia="仿宋" w:hAnsi="仿宋" w:cs="Tahoma" w:hint="eastAsia"/>
          <w:sz w:val="30"/>
          <w:szCs w:val="30"/>
        </w:rPr>
        <w:lastRenderedPageBreak/>
        <w:t>情，能及时向董事会和经营管理层汇报，并积极进行多方面、多渠道处置，确保第一时间化解声誉风险。本行深入开展了服务收费行为排查、稽核检查、内部审计，规范经营行为；同时，本行充分履行信息披露义务，对于产品与服务的性质、主要风险以及收费标准等的介绍说明全面、真实。报告期内，本行声誉风险基本可控。</w:t>
      </w:r>
    </w:p>
    <w:p w:rsidR="00B5421D" w:rsidRDefault="00BF1FF1">
      <w:pPr>
        <w:pStyle w:val="1"/>
        <w:spacing w:before="0" w:beforeAutospacing="0" w:after="0" w:afterAutospacing="0" w:line="600" w:lineRule="exact"/>
        <w:ind w:firstLineChars="200" w:firstLine="602"/>
        <w:jc w:val="center"/>
        <w:rPr>
          <w:rStyle w:val="a9"/>
          <w:rFonts w:ascii="仿宋" w:eastAsia="仿宋" w:hAnsi="仿宋"/>
          <w:b/>
          <w:bCs/>
          <w:sz w:val="30"/>
          <w:szCs w:val="30"/>
        </w:rPr>
      </w:pPr>
      <w:bookmarkStart w:id="44" w:name="_Toc227401540"/>
      <w:bookmarkStart w:id="45" w:name="_Toc481080009"/>
      <w:bookmarkStart w:id="46" w:name="_Toc193883062"/>
      <w:bookmarkEnd w:id="44"/>
      <w:bookmarkEnd w:id="45"/>
      <w:r>
        <w:rPr>
          <w:rStyle w:val="a9"/>
          <w:rFonts w:ascii="仿宋" w:eastAsia="仿宋" w:hAnsi="仿宋" w:hint="eastAsia"/>
          <w:b/>
          <w:bCs/>
          <w:sz w:val="30"/>
          <w:szCs w:val="30"/>
        </w:rPr>
        <w:t>第五章</w:t>
      </w:r>
      <w:r>
        <w:rPr>
          <w:rStyle w:val="a9"/>
          <w:rFonts w:hint="eastAsia"/>
          <w:b/>
          <w:bCs/>
          <w:sz w:val="30"/>
          <w:szCs w:val="30"/>
        </w:rPr>
        <w:t> </w:t>
      </w:r>
      <w:r>
        <w:rPr>
          <w:rStyle w:val="apple-converted-space"/>
          <w:rFonts w:hint="eastAsia"/>
          <w:sz w:val="30"/>
          <w:szCs w:val="30"/>
        </w:rPr>
        <w:t> </w:t>
      </w:r>
      <w:bookmarkEnd w:id="46"/>
      <w:r>
        <w:rPr>
          <w:rStyle w:val="a9"/>
          <w:rFonts w:ascii="仿宋" w:eastAsia="仿宋" w:hAnsi="仿宋" w:hint="eastAsia"/>
          <w:b/>
          <w:bCs/>
          <w:sz w:val="30"/>
          <w:szCs w:val="30"/>
        </w:rPr>
        <w:t>公司治理情况</w:t>
      </w:r>
      <w:bookmarkStart w:id="47" w:name="_Toc227401541"/>
      <w:bookmarkStart w:id="48" w:name="_Toc481080010"/>
      <w:bookmarkEnd w:id="47"/>
    </w:p>
    <w:p w:rsidR="00B5421D" w:rsidRDefault="00BF1FF1">
      <w:pPr>
        <w:pStyle w:val="1"/>
        <w:spacing w:before="0" w:beforeAutospacing="0" w:after="0" w:afterAutospacing="0" w:line="600" w:lineRule="exact"/>
        <w:ind w:firstLineChars="200" w:firstLine="600"/>
        <w:rPr>
          <w:rFonts w:ascii="仿宋" w:eastAsia="仿宋" w:hAnsi="仿宋"/>
          <w:sz w:val="30"/>
          <w:szCs w:val="30"/>
        </w:rPr>
      </w:pPr>
      <w:r>
        <w:rPr>
          <w:rStyle w:val="a9"/>
          <w:rFonts w:ascii="仿宋" w:eastAsia="仿宋" w:hAnsi="仿宋" w:cs="Arial" w:hint="eastAsia"/>
          <w:sz w:val="30"/>
          <w:szCs w:val="30"/>
        </w:rPr>
        <w:t>一、</w:t>
      </w:r>
      <w:bookmarkEnd w:id="48"/>
      <w:r>
        <w:rPr>
          <w:rStyle w:val="a9"/>
          <w:rFonts w:ascii="仿宋" w:eastAsia="仿宋" w:hAnsi="仿宋" w:cs="Arial" w:hint="eastAsia"/>
          <w:b/>
          <w:bCs/>
          <w:sz w:val="30"/>
          <w:szCs w:val="30"/>
        </w:rPr>
        <w:t>经营决策体系</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本行权力机构是股东代表大会，通过支委会、董事会进行决策、管理，由监事会行使监督职能。行长对董事会负责，执行董事会的各项决议，负责本行的日常经营管理工作。本行实行一级法人体制，对行通过董事会、监事会进行管理和监督。行长受聘于董事会，负责本行日常经营管理。</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报告期内，本行不断完善股东代表大会、董事会、监事会和经营管理层独立运作、有效制衡的公司治理结构，其核心目标是在尊重和保护存款人利益的前提下，追求股东价值。</w:t>
      </w:r>
    </w:p>
    <w:p w:rsidR="006D268F" w:rsidRDefault="006D268F">
      <w:pPr>
        <w:pStyle w:val="2"/>
        <w:spacing w:line="600" w:lineRule="exact"/>
        <w:ind w:firstLineChars="200" w:firstLine="600"/>
        <w:jc w:val="both"/>
        <w:rPr>
          <w:rStyle w:val="a9"/>
          <w:rFonts w:ascii="仿宋" w:eastAsia="仿宋" w:hAnsi="仿宋" w:cs="Arial"/>
          <w:sz w:val="30"/>
          <w:szCs w:val="30"/>
        </w:rPr>
      </w:pPr>
      <w:bookmarkStart w:id="49" w:name="_Toc227401542"/>
      <w:bookmarkStart w:id="50" w:name="_Toc481080011"/>
      <w:bookmarkEnd w:id="49"/>
    </w:p>
    <w:p w:rsidR="00B5421D" w:rsidRDefault="00BF1FF1">
      <w:pPr>
        <w:pStyle w:val="2"/>
        <w:spacing w:line="600" w:lineRule="exact"/>
        <w:ind w:firstLineChars="200" w:firstLine="600"/>
        <w:jc w:val="both"/>
        <w:rPr>
          <w:rFonts w:ascii="仿宋" w:eastAsia="仿宋" w:hAnsi="仿宋"/>
          <w:sz w:val="30"/>
          <w:szCs w:val="30"/>
        </w:rPr>
      </w:pPr>
      <w:r>
        <w:rPr>
          <w:rStyle w:val="a9"/>
          <w:rFonts w:ascii="仿宋" w:eastAsia="仿宋" w:hAnsi="仿宋" w:cs="Arial" w:hint="eastAsia"/>
          <w:sz w:val="30"/>
          <w:szCs w:val="30"/>
        </w:rPr>
        <w:t>二、</w:t>
      </w:r>
      <w:bookmarkEnd w:id="50"/>
      <w:r>
        <w:rPr>
          <w:rStyle w:val="a9"/>
          <w:rFonts w:ascii="仿宋" w:eastAsia="仿宋" w:hAnsi="仿宋" w:cs="Arial" w:hint="eastAsia"/>
          <w:b/>
          <w:bCs/>
          <w:sz w:val="30"/>
          <w:szCs w:val="30"/>
        </w:rPr>
        <w:t>年度内召开股东大会情况</w:t>
      </w:r>
    </w:p>
    <w:p w:rsidR="00B5421D" w:rsidRDefault="00BF1FF1">
      <w:pPr>
        <w:pStyle w:val="a3"/>
        <w:spacing w:before="0" w:beforeAutospacing="0" w:after="0" w:afterAutospacing="0" w:line="600" w:lineRule="exact"/>
        <w:ind w:firstLineChars="200" w:firstLine="600"/>
        <w:jc w:val="both"/>
        <w:rPr>
          <w:rFonts w:ascii="仿宋" w:eastAsia="仿宋" w:hAnsi="仿宋"/>
          <w:sz w:val="30"/>
          <w:szCs w:val="30"/>
        </w:rPr>
      </w:pPr>
      <w:bookmarkStart w:id="51" w:name="_Toc193883065"/>
      <w:r>
        <w:rPr>
          <w:rFonts w:ascii="仿宋" w:eastAsia="仿宋" w:hAnsi="仿宋" w:hint="eastAsia"/>
          <w:sz w:val="30"/>
          <w:szCs w:val="30"/>
        </w:rPr>
        <w:t>报告期内，2024年本行共召开了1次股东大会，会议程序符合监管要求和《章程》有关规定。</w:t>
      </w:r>
      <w:bookmarkEnd w:id="51"/>
    </w:p>
    <w:p w:rsidR="00B5421D" w:rsidRDefault="00BF1FF1">
      <w:pPr>
        <w:pStyle w:val="a3"/>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hint="eastAsia"/>
          <w:sz w:val="30"/>
          <w:szCs w:val="30"/>
        </w:rPr>
        <w:t>一级法人体制下召开的股东大会：</w:t>
      </w:r>
    </w:p>
    <w:tbl>
      <w:tblPr>
        <w:tblW w:w="8786"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1611"/>
        <w:gridCol w:w="1363"/>
        <w:gridCol w:w="5812"/>
      </w:tblGrid>
      <w:tr w:rsidR="00B5421D">
        <w:trPr>
          <w:jc w:val="center"/>
        </w:trPr>
        <w:tc>
          <w:tcPr>
            <w:tcW w:w="1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sz w:val="30"/>
                <w:szCs w:val="30"/>
                <w:highlight w:val="yellow"/>
              </w:rPr>
            </w:pPr>
            <w:r>
              <w:rPr>
                <w:rStyle w:val="a9"/>
                <w:rFonts w:ascii="仿宋" w:eastAsia="仿宋" w:hAnsi="仿宋" w:cs="Times New Roman" w:hint="eastAsia"/>
                <w:sz w:val="30"/>
                <w:szCs w:val="30"/>
              </w:rPr>
              <w:lastRenderedPageBreak/>
              <w:t>会议名称</w:t>
            </w:r>
          </w:p>
        </w:tc>
        <w:tc>
          <w:tcPr>
            <w:tcW w:w="1363"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301"/>
              <w:rPr>
                <w:rFonts w:ascii="仿宋" w:eastAsia="仿宋" w:hAnsi="仿宋"/>
                <w:sz w:val="30"/>
                <w:szCs w:val="30"/>
                <w:highlight w:val="yellow"/>
              </w:rPr>
            </w:pPr>
            <w:r>
              <w:rPr>
                <w:rStyle w:val="a9"/>
                <w:rFonts w:ascii="仿宋" w:eastAsia="仿宋" w:hAnsi="仿宋" w:cs="Times New Roman" w:hint="eastAsia"/>
                <w:sz w:val="30"/>
                <w:szCs w:val="30"/>
              </w:rPr>
              <w:t>时间</w:t>
            </w:r>
          </w:p>
        </w:tc>
        <w:tc>
          <w:tcPr>
            <w:tcW w:w="5812"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602"/>
              <w:jc w:val="center"/>
              <w:rPr>
                <w:rFonts w:ascii="仿宋" w:eastAsia="仿宋" w:hAnsi="仿宋"/>
                <w:sz w:val="30"/>
                <w:szCs w:val="30"/>
                <w:highlight w:val="yellow"/>
              </w:rPr>
            </w:pPr>
            <w:r>
              <w:rPr>
                <w:rStyle w:val="a9"/>
                <w:rFonts w:ascii="仿宋" w:eastAsia="仿宋" w:hAnsi="仿宋" w:cs="Times New Roman" w:hint="eastAsia"/>
                <w:sz w:val="30"/>
                <w:szCs w:val="30"/>
              </w:rPr>
              <w:t>工作情况</w:t>
            </w:r>
          </w:p>
        </w:tc>
      </w:tr>
      <w:tr w:rsidR="00B5421D">
        <w:trPr>
          <w:trHeight w:val="631"/>
          <w:jc w:val="center"/>
        </w:trPr>
        <w:tc>
          <w:tcPr>
            <w:tcW w:w="161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2023年度股东大会</w:t>
            </w:r>
          </w:p>
        </w:tc>
        <w:tc>
          <w:tcPr>
            <w:tcW w:w="136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hint="eastAsia"/>
              </w:rPr>
              <w:t>2024.4.29</w:t>
            </w:r>
          </w:p>
        </w:tc>
        <w:tc>
          <w:tcPr>
            <w:tcW w:w="581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spacing w:line="540" w:lineRule="exact"/>
              <w:ind w:firstLineChars="196" w:firstLine="431"/>
              <w:rPr>
                <w:rFonts w:ascii="仿宋" w:eastAsia="仿宋" w:hAnsi="仿宋"/>
              </w:rPr>
            </w:pPr>
            <w:r>
              <w:rPr>
                <w:rFonts w:ascii="仿宋" w:eastAsia="仿宋" w:hAnsi="仿宋" w:cs="Times New Roman" w:hint="eastAsia"/>
              </w:rPr>
              <w:t>审议通过</w:t>
            </w:r>
            <w:r>
              <w:rPr>
                <w:rFonts w:ascii="仿宋" w:eastAsia="仿宋" w:hAnsi="仿宋" w:cs="Times New Roman"/>
              </w:rPr>
              <w:t>《</w:t>
            </w:r>
            <w:r>
              <w:rPr>
                <w:rFonts w:ascii="仿宋" w:eastAsia="仿宋" w:hAnsi="仿宋" w:cs="Times New Roman" w:hint="eastAsia"/>
              </w:rPr>
              <w:t>关于临猗县新田村镇银行股份有限公司2023年度财务审计报告</w:t>
            </w:r>
            <w:r>
              <w:rPr>
                <w:rFonts w:ascii="仿宋" w:eastAsia="仿宋" w:hAnsi="仿宋" w:cs="Times New Roman"/>
              </w:rPr>
              <w:t>》</w:t>
            </w:r>
            <w:r>
              <w:rPr>
                <w:rFonts w:ascii="仿宋" w:eastAsia="仿宋" w:hAnsi="仿宋" w:cs="Times New Roman" w:hint="eastAsia"/>
              </w:rPr>
              <w:t>；</w:t>
            </w:r>
            <w:r>
              <w:rPr>
                <w:rFonts w:ascii="仿宋" w:eastAsia="仿宋" w:hAnsi="仿宋" w:cs="Times New Roman"/>
              </w:rPr>
              <w:t>《关于</w:t>
            </w:r>
            <w:r>
              <w:rPr>
                <w:rFonts w:ascii="仿宋" w:eastAsia="仿宋" w:hAnsi="仿宋" w:cs="Times New Roman" w:hint="eastAsia"/>
              </w:rPr>
              <w:t>临猗县新田村镇银行股份有限公司2023年度信息披露报告</w:t>
            </w:r>
            <w:r>
              <w:rPr>
                <w:rFonts w:ascii="仿宋" w:eastAsia="仿宋" w:hAnsi="仿宋" w:cs="Times New Roman"/>
              </w:rPr>
              <w:t>》</w:t>
            </w:r>
            <w:r>
              <w:rPr>
                <w:rFonts w:ascii="仿宋" w:eastAsia="仿宋" w:hAnsi="仿宋" w:cs="Times New Roman" w:hint="eastAsia"/>
              </w:rPr>
              <w:t>；《关于临猗县新田村镇银行股份有限公司2023年度关联交易专项审计情况报告》；《关于临猗县新田村镇银行股份有限公司2023年财务决算报告及2024年财务预算方案（草案）》；《临猗新田村镇银行第四届董事会拟任董事候选人的议案的议案》；《临猗新田村镇银行第四届监事会拟任监事候选人的议案的议案》；</w:t>
            </w:r>
          </w:p>
        </w:tc>
      </w:tr>
    </w:tbl>
    <w:p w:rsidR="00B5421D" w:rsidRDefault="00BF1FF1">
      <w:pPr>
        <w:pStyle w:val="2"/>
        <w:spacing w:line="600" w:lineRule="exact"/>
        <w:ind w:firstLineChars="200" w:firstLine="600"/>
        <w:jc w:val="both"/>
        <w:rPr>
          <w:rFonts w:ascii="仿宋" w:eastAsia="仿宋" w:hAnsi="仿宋"/>
          <w:sz w:val="30"/>
          <w:szCs w:val="30"/>
        </w:rPr>
      </w:pPr>
      <w:bookmarkStart w:id="52" w:name="_Toc227401547"/>
      <w:bookmarkStart w:id="53" w:name="_Toc481080012"/>
      <w:bookmarkEnd w:id="52"/>
      <w:r>
        <w:rPr>
          <w:rStyle w:val="a9"/>
          <w:rFonts w:ascii="仿宋" w:eastAsia="仿宋" w:hAnsi="仿宋" w:cs="Arial" w:hint="eastAsia"/>
          <w:sz w:val="30"/>
          <w:szCs w:val="30"/>
        </w:rPr>
        <w:t>三、</w:t>
      </w:r>
      <w:bookmarkEnd w:id="53"/>
      <w:r>
        <w:rPr>
          <w:rStyle w:val="a9"/>
          <w:rFonts w:ascii="仿宋" w:eastAsia="仿宋" w:hAnsi="仿宋" w:cs="Arial" w:hint="eastAsia"/>
          <w:b/>
          <w:bCs/>
          <w:sz w:val="30"/>
          <w:szCs w:val="30"/>
        </w:rPr>
        <w:t>董事会的构成及其工作情况</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bookmarkStart w:id="54" w:name="_Toc193883071"/>
      <w:bookmarkStart w:id="55" w:name="_Toc227401548"/>
      <w:bookmarkEnd w:id="54"/>
      <w:r>
        <w:rPr>
          <w:rFonts w:ascii="仿宋" w:eastAsia="仿宋" w:hAnsi="仿宋" w:cs="Times New Roman" w:hint="eastAsia"/>
          <w:sz w:val="30"/>
          <w:szCs w:val="30"/>
        </w:rPr>
        <w:t>（一）董事会的构成情况</w:t>
      </w:r>
      <w:bookmarkEnd w:id="55"/>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t>本行严格按照《章程》规定的董事任职资格和选聘程序选举董事，董事会的人数和人员构成符合法律法规的要求。报告期末，本行董事会由5名董事组成。</w:t>
      </w:r>
    </w:p>
    <w:tbl>
      <w:tblPr>
        <w:tblW w:w="8294"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955"/>
        <w:gridCol w:w="750"/>
        <w:gridCol w:w="855"/>
        <w:gridCol w:w="2490"/>
        <w:gridCol w:w="1230"/>
        <w:gridCol w:w="2014"/>
      </w:tblGrid>
      <w:tr w:rsidR="00B5421D">
        <w:trPr>
          <w:trHeight w:val="130"/>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姓名</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性别</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学历</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社会职务</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本行职务</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代表的股权类别</w:t>
            </w:r>
          </w:p>
        </w:tc>
      </w:tr>
      <w:tr w:rsidR="00B5421D">
        <w:trPr>
          <w:trHeight w:val="1051"/>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范晓云</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女</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临猗县新田村镇银行股份有限公司董事长</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董事长</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本行</w:t>
            </w:r>
          </w:p>
        </w:tc>
      </w:tr>
      <w:tr w:rsidR="00B5421D">
        <w:trPr>
          <w:trHeight w:val="841"/>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薛胜利</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男</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山西昌泰动物有限责任公司总经理</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董事</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自然人股东</w:t>
            </w:r>
          </w:p>
        </w:tc>
      </w:tr>
      <w:tr w:rsidR="00B5421D">
        <w:trPr>
          <w:trHeight w:val="846"/>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杨长锁</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男</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大专</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耽子长锁预制构件厂总经理</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董事</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自然人股东</w:t>
            </w:r>
          </w:p>
        </w:tc>
      </w:tr>
      <w:tr w:rsidR="00B5421D">
        <w:trPr>
          <w:trHeight w:val="307"/>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lastRenderedPageBreak/>
              <w:t>袁淑兰</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女</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个体</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董事</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自然人股东</w:t>
            </w:r>
          </w:p>
        </w:tc>
      </w:tr>
      <w:tr w:rsidR="00B5421D">
        <w:trPr>
          <w:trHeight w:val="935"/>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刘彩红</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女</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侯马市尚雅贸易有限公司 财务经理</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董事</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自然人股东</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bookmarkStart w:id="56" w:name="_（二）理事会工作情况"/>
      <w:bookmarkStart w:id="57" w:name="_Toc193883072"/>
      <w:bookmarkStart w:id="58" w:name="_Toc227401549"/>
      <w:bookmarkEnd w:id="56"/>
      <w:bookmarkEnd w:id="57"/>
      <w:bookmarkEnd w:id="58"/>
      <w:r>
        <w:rPr>
          <w:rFonts w:ascii="仿宋" w:eastAsia="仿宋" w:hAnsi="仿宋" w:cs="Times New Roman" w:hint="eastAsia"/>
          <w:sz w:val="30"/>
          <w:szCs w:val="30"/>
        </w:rPr>
        <w:t>（二）董事会工作情况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2024年本行董事会共召开了4次董事会，会议程序符合监管要求和《章程》有关规定。</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一级法人体制下召开的董事会：</w:t>
      </w:r>
    </w:p>
    <w:tbl>
      <w:tblPr>
        <w:tblW w:w="9010"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787"/>
        <w:gridCol w:w="1280"/>
        <w:gridCol w:w="6943"/>
      </w:tblGrid>
      <w:tr w:rsidR="00B5421D">
        <w:trPr>
          <w:trHeight w:val="847"/>
          <w:jc w:val="center"/>
        </w:trPr>
        <w:tc>
          <w:tcPr>
            <w:tcW w:w="78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highlight w:val="yellow"/>
              </w:rPr>
            </w:pPr>
            <w:r>
              <w:rPr>
                <w:rStyle w:val="a9"/>
                <w:rFonts w:ascii="仿宋" w:eastAsia="仿宋" w:hAnsi="仿宋" w:cs="Times New Roman" w:hint="eastAsia"/>
              </w:rPr>
              <w:t>会议名称</w:t>
            </w:r>
          </w:p>
        </w:tc>
        <w:tc>
          <w:tcPr>
            <w:tcW w:w="1280" w:type="dxa"/>
            <w:tcBorders>
              <w:top w:val="single" w:sz="8" w:space="0" w:color="000000"/>
              <w:left w:val="single" w:sz="8" w:space="0" w:color="auto"/>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rPr>
                <w:rFonts w:ascii="仿宋" w:eastAsia="仿宋" w:hAnsi="仿宋"/>
                <w:highlight w:val="yellow"/>
              </w:rPr>
            </w:pPr>
            <w:r>
              <w:rPr>
                <w:rStyle w:val="a9"/>
                <w:rFonts w:ascii="仿宋" w:eastAsia="仿宋" w:hAnsi="仿宋" w:cs="Times New Roman" w:hint="eastAsia"/>
              </w:rPr>
              <w:t>时间</w:t>
            </w:r>
          </w:p>
        </w:tc>
        <w:tc>
          <w:tcPr>
            <w:tcW w:w="6943" w:type="dxa"/>
            <w:tcBorders>
              <w:top w:val="single" w:sz="8" w:space="0" w:color="000000"/>
              <w:left w:val="single" w:sz="8" w:space="0" w:color="auto"/>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highlight w:val="yellow"/>
              </w:rPr>
            </w:pPr>
            <w:r>
              <w:rPr>
                <w:rStyle w:val="a9"/>
                <w:rFonts w:ascii="仿宋" w:eastAsia="仿宋" w:hAnsi="仿宋" w:cs="Times New Roman" w:hint="eastAsia"/>
              </w:rPr>
              <w:t>工作情况</w:t>
            </w:r>
          </w:p>
        </w:tc>
      </w:tr>
      <w:tr w:rsidR="00B5421D">
        <w:trPr>
          <w:trHeight w:val="801"/>
          <w:jc w:val="center"/>
        </w:trPr>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第三届第十二次董事会</w:t>
            </w:r>
          </w:p>
        </w:tc>
        <w:tc>
          <w:tcPr>
            <w:tcW w:w="12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2024.4.29</w:t>
            </w:r>
          </w:p>
        </w:tc>
        <w:tc>
          <w:tcPr>
            <w:tcW w:w="69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rPr>
            </w:pPr>
            <w:r>
              <w:rPr>
                <w:rFonts w:ascii="仿宋" w:eastAsia="仿宋" w:hAnsi="仿宋" w:cs="Times New Roman" w:hint="eastAsia"/>
              </w:rPr>
              <w:t>审议通过了《关于临猗新田村镇银行2023年度财务审计报告的议案》；《关于临猗新田村镇银行2023年度信息披露报告的议案》；《关于临猗新田村镇银行2023年度关联交易专项审计情况报告的议案》；《关于临猗新田村镇银行2023年度财务决算报告及2024年度财务预算方案（草案）的议案》；《关于临猗新田村镇银行内部控制评价实施细则的议案》；《关于临猗新田村镇银行2023年内部控制评价报告的议案》；《关于临猗新田村镇银行2023年度全面风险管理评估报告的议案》；《关于临猗新田村银行2023年反洗钱和反恐怖融资年度报告的议案》；《关于临猗新田村镇银行2023年业务洗钱风险评估报告的议案》</w:t>
            </w:r>
          </w:p>
        </w:tc>
      </w:tr>
      <w:tr w:rsidR="00B5421D">
        <w:trPr>
          <w:trHeight w:val="500"/>
          <w:jc w:val="center"/>
        </w:trPr>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第四届第一次董事会</w:t>
            </w:r>
          </w:p>
        </w:tc>
        <w:tc>
          <w:tcPr>
            <w:tcW w:w="12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2024.4.29</w:t>
            </w:r>
          </w:p>
        </w:tc>
        <w:tc>
          <w:tcPr>
            <w:tcW w:w="69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cs="Times New Roman"/>
              </w:rPr>
            </w:pPr>
            <w:r>
              <w:rPr>
                <w:rFonts w:ascii="仿宋" w:eastAsia="仿宋" w:hAnsi="仿宋" w:cs="Times New Roman" w:hint="eastAsia"/>
              </w:rPr>
              <w:t>审议通过了《关于提名范晓云同志拟担任临猗新田村镇银行第四届董事会董事长的议案》；《关于提名贾孟辉同志拟担任临猗新田村镇银行行长的议案》；《关于提名李少杰同志拟担任临猗新田村镇银行董事会秘书的议案》；《关于提名乔舒梦同志拟担任临猗新田村镇银行行长助理的议案》；《关于提名张静茜同志拟担任临猗新田村镇银行风险合规部经理的议案》；《关于提名侯鋆同志拟担任临猗新田村镇银行营业部经理的议案》；《关于临猗新田村镇银行高管薪酬管理办法的议案》；《关于新田村镇银行2024年度经营管理考核方案的议案》；《关于临猗新田村镇银行员工贷款管理办法修订内容的议案》；《关于临猗新田村镇银行重大关联交易人股东王勤生追加300万元贷款的议案》；《关于临猗新田村镇银行五年（2024-2028年）战略规划的议案》；《关于临猗新田村镇银行金融消费者权益保护工作五年规划的议案》；《关于临猗新田村镇银行2023年金融消费者权益保护工作审计报告的议案》</w:t>
            </w:r>
          </w:p>
        </w:tc>
      </w:tr>
      <w:tr w:rsidR="00B5421D">
        <w:trPr>
          <w:trHeight w:val="834"/>
          <w:jc w:val="center"/>
        </w:trPr>
        <w:tc>
          <w:tcPr>
            <w:tcW w:w="78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lastRenderedPageBreak/>
              <w:t>第四届第二次董事会</w:t>
            </w:r>
          </w:p>
        </w:tc>
        <w:tc>
          <w:tcPr>
            <w:tcW w:w="128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2024.8.8</w:t>
            </w:r>
          </w:p>
        </w:tc>
        <w:tc>
          <w:tcPr>
            <w:tcW w:w="69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cs="Times New Roman"/>
              </w:rPr>
            </w:pPr>
            <w:r>
              <w:rPr>
                <w:rFonts w:ascii="仿宋" w:eastAsia="仿宋" w:hAnsi="仿宋" w:cs="Times New Roman" w:hint="eastAsia"/>
              </w:rPr>
              <w:t>审议通过了《关于临猗新田村镇银行2023年股东分红的议案》；《关于临猗新田村镇银行2024年人员招聘的议案》；《关于临猗新田村镇银行2024年上半年全面风险管理评估报告的议案》；《关于对临猗新田村镇银行重大关联交易人姚广川贷款的议案》</w:t>
            </w:r>
          </w:p>
        </w:tc>
      </w:tr>
      <w:tr w:rsidR="00B5421D">
        <w:trPr>
          <w:jc w:val="center"/>
        </w:trPr>
        <w:tc>
          <w:tcPr>
            <w:tcW w:w="78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第四届第三次董事会</w:t>
            </w:r>
          </w:p>
        </w:tc>
        <w:tc>
          <w:tcPr>
            <w:tcW w:w="128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2024.12.11</w:t>
            </w:r>
          </w:p>
        </w:tc>
        <w:tc>
          <w:tcPr>
            <w:tcW w:w="69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rPr>
            </w:pPr>
            <w:r>
              <w:rPr>
                <w:rFonts w:ascii="仿宋" w:eastAsia="仿宋" w:hAnsi="仿宋" w:cs="Times New Roman" w:hint="eastAsia"/>
              </w:rPr>
              <w:t>审议通过了《关于临猗新田村镇银行信息科技管理委员会成员变更的议案》；《关于临猗新田村镇银行风险管理委员会成员变更的议案》；《关于临猗新田村镇银行关联交易控制委员会成员变更的议案》；《关于临猗新田村镇银行消费者权益保护委员会成员变更的议案》；《关于临猗新田村镇银行薪酬委员会成员变更的议案》；《关于对临猗新田村镇银行重大关联交易人薛胜利贷款的议案》；《关于对临猗新田村镇银行重大关联交易人周桂芳贷款的议案》；《关于对临猗新田村镇银行重大关联交易人周海峰贷款的议案》；《关于临猗新田村镇银行洗钱和恐怖融资风险自评估报告的议案》</w:t>
            </w:r>
          </w:p>
        </w:tc>
      </w:tr>
    </w:tbl>
    <w:p w:rsidR="00B5421D" w:rsidRDefault="00BF1FF1" w:rsidP="00920CDA">
      <w:pPr>
        <w:pStyle w:val="2"/>
        <w:spacing w:line="500" w:lineRule="exact"/>
        <w:ind w:firstLineChars="200" w:firstLine="602"/>
        <w:jc w:val="both"/>
        <w:rPr>
          <w:rFonts w:ascii="仿宋" w:eastAsia="仿宋" w:hAnsi="仿宋"/>
          <w:sz w:val="30"/>
          <w:szCs w:val="30"/>
        </w:rPr>
      </w:pPr>
      <w:bookmarkStart w:id="59" w:name="_Toc481080013"/>
      <w:bookmarkStart w:id="60" w:name="_Toc227401550"/>
      <w:bookmarkStart w:id="61" w:name="_Toc193883077"/>
      <w:bookmarkEnd w:id="59"/>
      <w:bookmarkEnd w:id="60"/>
      <w:bookmarkEnd w:id="61"/>
      <w:r>
        <w:rPr>
          <w:rStyle w:val="a9"/>
          <w:rFonts w:ascii="仿宋" w:eastAsia="仿宋" w:hAnsi="仿宋" w:cs="Arial" w:hint="eastAsia"/>
          <w:b/>
          <w:bCs/>
          <w:sz w:val="30"/>
          <w:szCs w:val="30"/>
        </w:rPr>
        <w:t>四、监事会的构成及其工作情况</w:t>
      </w:r>
    </w:p>
    <w:p w:rsidR="00B5421D" w:rsidRDefault="00BF1FF1" w:rsidP="00920CDA">
      <w:pPr>
        <w:pStyle w:val="a8"/>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（一）监事会的构成情况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本行监事的任职资格和选聘程序、监事会的人数和人员构成均符合《章程》的规定要求。报告期末，本行监事会由3名监事组成。</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hint="eastAsia"/>
          <w:sz w:val="30"/>
          <w:szCs w:val="30"/>
        </w:rPr>
        <w:t> </w:t>
      </w:r>
    </w:p>
    <w:tbl>
      <w:tblPr>
        <w:tblW w:w="9447"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tblPr>
      <w:tblGrid>
        <w:gridCol w:w="994"/>
        <w:gridCol w:w="767"/>
        <w:gridCol w:w="700"/>
        <w:gridCol w:w="3632"/>
        <w:gridCol w:w="1317"/>
        <w:gridCol w:w="2037"/>
      </w:tblGrid>
      <w:tr w:rsidR="00B5421D">
        <w:trPr>
          <w:trHeight w:val="583"/>
          <w:jc w:val="center"/>
        </w:trPr>
        <w:tc>
          <w:tcPr>
            <w:tcW w:w="994" w:type="dxa"/>
            <w:tcBorders>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姓名</w:t>
            </w:r>
          </w:p>
        </w:tc>
        <w:tc>
          <w:tcPr>
            <w:tcW w:w="767" w:type="dxa"/>
            <w:tcBorders>
              <w:left w:val="single" w:sz="4" w:space="0" w:color="auto"/>
              <w:bottom w:val="single" w:sz="4" w:space="0" w:color="auto"/>
              <w:right w:val="single" w:sz="8" w:space="0" w:color="DDDDDD"/>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性别</w:t>
            </w:r>
          </w:p>
        </w:tc>
        <w:tc>
          <w:tcPr>
            <w:tcW w:w="700" w:type="dxa"/>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学历</w:t>
            </w:r>
          </w:p>
        </w:tc>
        <w:tc>
          <w:tcPr>
            <w:tcW w:w="3632" w:type="dxa"/>
            <w:tcBorders>
              <w:left w:val="single" w:sz="4" w:space="0" w:color="auto"/>
              <w:bottom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Style w:val="a9"/>
                <w:rFonts w:ascii="仿宋" w:eastAsia="仿宋" w:hAnsi="仿宋" w:cs="Times New Roman"/>
              </w:rPr>
            </w:pPr>
            <w:r>
              <w:rPr>
                <w:rStyle w:val="a9"/>
                <w:rFonts w:ascii="仿宋" w:eastAsia="仿宋" w:hAnsi="仿宋" w:cs="Times New Roman" w:hint="eastAsia"/>
              </w:rPr>
              <w:t>社会职务</w:t>
            </w:r>
          </w:p>
        </w:tc>
        <w:tc>
          <w:tcPr>
            <w:tcW w:w="1317" w:type="dxa"/>
            <w:tcBorders>
              <w:left w:val="single" w:sz="4" w:space="0" w:color="auto"/>
              <w:bottom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Style w:val="a9"/>
                <w:rFonts w:ascii="仿宋" w:eastAsia="仿宋" w:hAnsi="仿宋" w:cs="Times New Roman"/>
              </w:rPr>
            </w:pPr>
            <w:r>
              <w:rPr>
                <w:rStyle w:val="a9"/>
                <w:rFonts w:ascii="仿宋" w:eastAsia="仿宋" w:hAnsi="仿宋" w:cs="Times New Roman" w:hint="eastAsia"/>
              </w:rPr>
              <w:t>本行职务</w:t>
            </w:r>
          </w:p>
        </w:tc>
        <w:tc>
          <w:tcPr>
            <w:tcW w:w="2037" w:type="dxa"/>
            <w:tcBorders>
              <w:left w:val="single" w:sz="4" w:space="0" w:color="auto"/>
              <w:bottom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Style w:val="a9"/>
                <w:rFonts w:ascii="仿宋" w:eastAsia="仿宋" w:hAnsi="仿宋" w:cs="Times New Roman" w:hint="eastAsia"/>
              </w:rPr>
              <w:t>代表的股权类别</w:t>
            </w:r>
          </w:p>
        </w:tc>
      </w:tr>
      <w:tr w:rsidR="00B5421D">
        <w:trPr>
          <w:trHeight w:val="1015"/>
          <w:jc w:val="center"/>
        </w:trPr>
        <w:tc>
          <w:tcPr>
            <w:tcW w:w="994"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尚文娟</w:t>
            </w:r>
          </w:p>
        </w:tc>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女</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本科</w:t>
            </w:r>
          </w:p>
        </w:tc>
        <w:tc>
          <w:tcPr>
            <w:tcW w:w="3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cs="Times New Roman"/>
              </w:rPr>
            </w:pPr>
            <w:r>
              <w:rPr>
                <w:rFonts w:ascii="仿宋" w:eastAsia="仿宋" w:hAnsi="仿宋" w:cs="Times New Roman" w:hint="eastAsia"/>
              </w:rPr>
              <w:t>临猗县新田村镇银行</w:t>
            </w:r>
          </w:p>
          <w:p w:rsidR="00B5421D" w:rsidRDefault="00BF1FF1">
            <w:pPr>
              <w:pStyle w:val="a8"/>
              <w:spacing w:before="0" w:beforeAutospacing="0" w:after="0" w:afterAutospacing="0" w:line="600" w:lineRule="exact"/>
              <w:jc w:val="center"/>
              <w:rPr>
                <w:rFonts w:ascii="仿宋" w:eastAsia="仿宋" w:hAnsi="仿宋" w:cs="Times New Roman"/>
              </w:rPr>
            </w:pPr>
            <w:r>
              <w:rPr>
                <w:rFonts w:ascii="仿宋" w:eastAsia="仿宋" w:hAnsi="仿宋" w:cs="Times New Roman" w:hint="eastAsia"/>
              </w:rPr>
              <w:t>股份有限公司监事长</w:t>
            </w:r>
          </w:p>
        </w:tc>
        <w:tc>
          <w:tcPr>
            <w:tcW w:w="13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cs="Times New Roman"/>
              </w:rPr>
            </w:pPr>
            <w:r>
              <w:rPr>
                <w:rFonts w:ascii="仿宋" w:eastAsia="仿宋" w:hAnsi="仿宋" w:cs="Times New Roman" w:hint="eastAsia"/>
              </w:rPr>
              <w:t>监事长</w:t>
            </w:r>
          </w:p>
        </w:tc>
        <w:tc>
          <w:tcPr>
            <w:tcW w:w="2037"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本行</w:t>
            </w:r>
          </w:p>
        </w:tc>
      </w:tr>
      <w:tr w:rsidR="00B5421D">
        <w:trPr>
          <w:trHeight w:val="583"/>
          <w:jc w:val="center"/>
        </w:trPr>
        <w:tc>
          <w:tcPr>
            <w:tcW w:w="994"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王稠虎</w:t>
            </w:r>
          </w:p>
        </w:tc>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男</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专科</w:t>
            </w:r>
          </w:p>
        </w:tc>
        <w:tc>
          <w:tcPr>
            <w:tcW w:w="3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rPr>
              <w:t>临猗县凯睿塑业有限公司总经理</w:t>
            </w:r>
          </w:p>
        </w:tc>
        <w:tc>
          <w:tcPr>
            <w:tcW w:w="13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监事</w:t>
            </w:r>
          </w:p>
        </w:tc>
        <w:tc>
          <w:tcPr>
            <w:tcW w:w="2037"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自然人股东</w:t>
            </w:r>
          </w:p>
        </w:tc>
      </w:tr>
      <w:tr w:rsidR="00B5421D">
        <w:trPr>
          <w:trHeight w:val="593"/>
          <w:jc w:val="center"/>
        </w:trPr>
        <w:tc>
          <w:tcPr>
            <w:tcW w:w="994" w:type="dxa"/>
            <w:tcBorders>
              <w:top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段丽萍</w:t>
            </w:r>
          </w:p>
        </w:tc>
        <w:tc>
          <w:tcPr>
            <w:tcW w:w="76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cs="Times New Roman" w:hint="eastAsia"/>
              </w:rPr>
              <w:t>女</w:t>
            </w:r>
          </w:p>
        </w:tc>
        <w:tc>
          <w:tcPr>
            <w:tcW w:w="70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rPr>
              <w:t>专科</w:t>
            </w:r>
          </w:p>
        </w:tc>
        <w:tc>
          <w:tcPr>
            <w:tcW w:w="363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rPr>
              <w:t>飞达鑫房地产开发公司</w:t>
            </w:r>
            <w:r>
              <w:rPr>
                <w:rFonts w:ascii="仿宋" w:eastAsia="仿宋" w:hAnsi="仿宋" w:hint="eastAsia"/>
              </w:rPr>
              <w:t>董事</w:t>
            </w:r>
          </w:p>
        </w:tc>
        <w:tc>
          <w:tcPr>
            <w:tcW w:w="131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监事</w:t>
            </w:r>
          </w:p>
        </w:tc>
        <w:tc>
          <w:tcPr>
            <w:tcW w:w="2037" w:type="dxa"/>
            <w:tcBorders>
              <w:top w:val="single" w:sz="4" w:space="0" w:color="auto"/>
              <w:lef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center"/>
              <w:rPr>
                <w:rFonts w:ascii="仿宋" w:eastAsia="仿宋" w:hAnsi="仿宋"/>
              </w:rPr>
            </w:pPr>
            <w:r>
              <w:rPr>
                <w:rFonts w:ascii="仿宋" w:eastAsia="仿宋" w:hAnsi="仿宋" w:hint="eastAsia"/>
              </w:rPr>
              <w:t>自然人股东</w:t>
            </w:r>
          </w:p>
        </w:tc>
      </w:tr>
    </w:tbl>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hint="eastAsia"/>
          <w:sz w:val="30"/>
          <w:szCs w:val="30"/>
        </w:rPr>
        <w:t> </w:t>
      </w:r>
      <w:r>
        <w:rPr>
          <w:rFonts w:ascii="仿宋" w:eastAsia="仿宋" w:hAnsi="仿宋" w:cs="Times New Roman" w:hint="eastAsia"/>
          <w:sz w:val="30"/>
          <w:szCs w:val="30"/>
        </w:rPr>
        <w:t>（二）监事会工作情况</w:t>
      </w:r>
    </w:p>
    <w:p w:rsidR="00B5421D" w:rsidRDefault="00BF1FF1">
      <w:pPr>
        <w:pStyle w:val="a8"/>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 xml:space="preserve">报告期内，本行共召开了4次监事会会议，会议程序符合监管要求和《章程》的有关规定。 </w:t>
      </w:r>
    </w:p>
    <w:p w:rsidR="00B5421D" w:rsidRDefault="00BF1FF1">
      <w:pPr>
        <w:pStyle w:val="a8"/>
        <w:spacing w:before="0" w:beforeAutospacing="0" w:after="0" w:afterAutospacing="0" w:line="600" w:lineRule="exact"/>
        <w:ind w:firstLineChars="200" w:firstLine="600"/>
        <w:jc w:val="both"/>
        <w:rPr>
          <w:rFonts w:ascii="仿宋" w:eastAsia="仿宋" w:hAnsi="仿宋" w:cs="Times New Roman"/>
          <w:sz w:val="30"/>
          <w:szCs w:val="30"/>
        </w:rPr>
      </w:pPr>
      <w:r>
        <w:rPr>
          <w:rFonts w:ascii="仿宋" w:eastAsia="仿宋" w:hAnsi="仿宋" w:cs="Times New Roman" w:hint="eastAsia"/>
          <w:sz w:val="30"/>
          <w:szCs w:val="30"/>
        </w:rPr>
        <w:lastRenderedPageBreak/>
        <w:t>一级法人体制下召开的监事会：</w:t>
      </w:r>
    </w:p>
    <w:tbl>
      <w:tblPr>
        <w:tblW w:w="10165"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1356"/>
        <w:gridCol w:w="1134"/>
        <w:gridCol w:w="7675"/>
      </w:tblGrid>
      <w:tr w:rsidR="00B5421D">
        <w:trPr>
          <w:jc w:val="center"/>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Style w:val="a9"/>
                <w:rFonts w:ascii="仿宋" w:eastAsia="仿宋" w:hAnsi="仿宋" w:cs="Times New Roman" w:hint="eastAsia"/>
              </w:rPr>
              <w:t>会议名称</w:t>
            </w:r>
          </w:p>
        </w:tc>
        <w:tc>
          <w:tcPr>
            <w:tcW w:w="1134"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jc w:val="both"/>
              <w:rPr>
                <w:rFonts w:ascii="仿宋" w:eastAsia="仿宋" w:hAnsi="仿宋"/>
              </w:rPr>
            </w:pPr>
            <w:r>
              <w:rPr>
                <w:rStyle w:val="a9"/>
                <w:rFonts w:ascii="仿宋" w:eastAsia="仿宋" w:hAnsi="仿宋" w:cs="Times New Roman" w:hint="eastAsia"/>
              </w:rPr>
              <w:t>时间</w:t>
            </w:r>
          </w:p>
        </w:tc>
        <w:tc>
          <w:tcPr>
            <w:tcW w:w="767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2"/>
              <w:jc w:val="center"/>
              <w:rPr>
                <w:rFonts w:ascii="仿宋" w:eastAsia="仿宋" w:hAnsi="仿宋"/>
              </w:rPr>
            </w:pPr>
            <w:r>
              <w:rPr>
                <w:rStyle w:val="a9"/>
                <w:rFonts w:ascii="仿宋" w:eastAsia="仿宋" w:hAnsi="仿宋" w:cs="Times New Roman" w:hint="eastAsia"/>
              </w:rPr>
              <w:t>工作情况</w:t>
            </w:r>
          </w:p>
        </w:tc>
      </w:tr>
      <w:tr w:rsidR="00B5421D">
        <w:trPr>
          <w:trHeight w:val="801"/>
          <w:jc w:val="center"/>
        </w:trPr>
        <w:tc>
          <w:tcPr>
            <w:tcW w:w="13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第三届第十二次监事会</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2024.4.29</w:t>
            </w:r>
          </w:p>
        </w:tc>
        <w:tc>
          <w:tcPr>
            <w:tcW w:w="767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rPr>
            </w:pPr>
            <w:r>
              <w:rPr>
                <w:rFonts w:ascii="仿宋" w:eastAsia="仿宋" w:hAnsi="仿宋" w:cs="Times New Roman" w:hint="eastAsia"/>
              </w:rPr>
              <w:t>审议通过了《关于临猗新田村镇银行2023年度财务审计报告的议案》；《关于临猗新田村镇银行2023年度信息披露报告的议案》；《关于临猗新田村镇银行2023年度关联交易专项审计情况报告的议案》；《关于临猗新田村镇银行2023年度财务决算报告及2024年度财务预算方案（草案）的议案》；《关于临猗新田村镇银行内部控制评价实施细则的议案》；《关于临猗新田村镇银行2023年内部控制评价报告的议案》；《关于临猗新田村镇银行2023年度全面风险管理评估报告的议案》；《关于临猗新田村银行2023年反洗钱和反恐怖融资年度报告的议案》；《关于临猗新田村镇银行2023年业务洗钱风险评估报告的议案》</w:t>
            </w:r>
          </w:p>
        </w:tc>
      </w:tr>
      <w:tr w:rsidR="00B5421D">
        <w:trPr>
          <w:trHeight w:val="500"/>
          <w:jc w:val="center"/>
        </w:trPr>
        <w:tc>
          <w:tcPr>
            <w:tcW w:w="13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第四届第一次监事会</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2024.4.29</w:t>
            </w:r>
          </w:p>
        </w:tc>
        <w:tc>
          <w:tcPr>
            <w:tcW w:w="767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cs="Times New Roman"/>
              </w:rPr>
            </w:pPr>
            <w:r>
              <w:rPr>
                <w:rFonts w:ascii="仿宋" w:eastAsia="仿宋" w:hAnsi="仿宋" w:cs="Times New Roman" w:hint="eastAsia"/>
              </w:rPr>
              <w:t>审议通过了《关于提名范晓云同志拟担任临猗新田村镇银行第四届董事会董事长的议案》；《关于提名贾孟辉同志拟担任临猗新田村镇银行行长的议案》；《关于提名李少杰同志拟担任临猗新田村镇银行董事会秘书的议案》；《关于提名乔舒梦同志拟担任临猗新田村镇银行行长助理的议案》；《关于提名张静茜同志拟担任临猗新田村镇银行风险合规部经理的议案》；《关于提名侯鋆同志拟担任临猗新田村镇银行营业部经理的议案》；《关于临猗新田村镇银行高管薪酬管理办法的议案》；《关于新田村镇银行2024年度经营管理考核方案的议案》；《关于临猗新田村镇银行员工贷款管理办法修订内容的议案》；《关于临猗新田村镇银行重大关联交易人股东王勤生追加300万元贷款的议案》；《关于临猗新田村镇银行五年（2024-2028年）战略规划的议案》；《关于临猗新田村镇银行金融消费者权益保护工作五年规划的议案》；《关于临猗新田村镇银行2023年金融消费者权益保护工作审计报告的议案》</w:t>
            </w:r>
          </w:p>
        </w:tc>
      </w:tr>
      <w:tr w:rsidR="00B5421D">
        <w:trPr>
          <w:trHeight w:val="834"/>
          <w:jc w:val="center"/>
        </w:trPr>
        <w:tc>
          <w:tcPr>
            <w:tcW w:w="135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第四届第二次监事会</w:t>
            </w:r>
          </w:p>
        </w:tc>
        <w:tc>
          <w:tcPr>
            <w:tcW w:w="1134"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2024.8.8</w:t>
            </w:r>
          </w:p>
        </w:tc>
        <w:tc>
          <w:tcPr>
            <w:tcW w:w="767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cs="Times New Roman"/>
              </w:rPr>
            </w:pPr>
            <w:r>
              <w:rPr>
                <w:rFonts w:ascii="仿宋" w:eastAsia="仿宋" w:hAnsi="仿宋" w:cs="Times New Roman" w:hint="eastAsia"/>
              </w:rPr>
              <w:t>审议通过了《关于临猗新田村镇银行2023年股东分红的议案》；《关于临猗新田村镇银行2024年人员招聘的议案》；《关于临猗新田村镇银行2024年上半年全面风险管理评估报告的议案》；《关于对临猗新田村镇银行重大关联交易人姚广川贷款的议案》</w:t>
            </w:r>
          </w:p>
        </w:tc>
      </w:tr>
      <w:tr w:rsidR="00B5421D">
        <w:trPr>
          <w:jc w:val="center"/>
        </w:trPr>
        <w:tc>
          <w:tcPr>
            <w:tcW w:w="135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rPr>
            </w:pPr>
            <w:r>
              <w:rPr>
                <w:rFonts w:ascii="仿宋" w:eastAsia="仿宋" w:hAnsi="仿宋" w:cs="Times New Roman" w:hint="eastAsia"/>
              </w:rPr>
              <w:t>第四届第三次监事会</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jc w:val="center"/>
              <w:rPr>
                <w:rFonts w:ascii="仿宋" w:eastAsia="仿宋" w:hAnsi="仿宋" w:cs="Times New Roman"/>
              </w:rPr>
            </w:pPr>
            <w:r>
              <w:rPr>
                <w:rFonts w:ascii="仿宋" w:eastAsia="仿宋" w:hAnsi="仿宋" w:cs="Times New Roman" w:hint="eastAsia"/>
              </w:rPr>
              <w:t>2024.12.11</w:t>
            </w:r>
          </w:p>
        </w:tc>
        <w:tc>
          <w:tcPr>
            <w:tcW w:w="767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B5421D" w:rsidRDefault="00BF1FF1">
            <w:pPr>
              <w:pStyle w:val="a8"/>
              <w:spacing w:before="0" w:beforeAutospacing="0" w:after="0" w:afterAutospacing="0"/>
              <w:rPr>
                <w:rFonts w:ascii="仿宋" w:eastAsia="仿宋" w:hAnsi="仿宋"/>
              </w:rPr>
            </w:pPr>
            <w:r>
              <w:rPr>
                <w:rFonts w:ascii="仿宋" w:eastAsia="仿宋" w:hAnsi="仿宋" w:cs="Times New Roman" w:hint="eastAsia"/>
              </w:rPr>
              <w:t>审议通过了《关于对临猗新田村镇银行重大关联交易人薛胜利贷款的议案》；《关于对临猗新田村镇银行重大关联交易人周桂芳贷款的议案》；《关于对临猗新田村镇银行重大关联交易人周海峰贷款的议案》；《关于临猗新田村镇银行洗钱和恐怖融资风险自评估报告的议案》</w:t>
            </w:r>
          </w:p>
        </w:tc>
      </w:tr>
    </w:tbl>
    <w:p w:rsidR="00B5421D" w:rsidRDefault="00BF1FF1" w:rsidP="00920CDA">
      <w:pPr>
        <w:pStyle w:val="2"/>
        <w:spacing w:line="400" w:lineRule="exact"/>
        <w:ind w:firstLineChars="200" w:firstLine="602"/>
        <w:jc w:val="both"/>
        <w:rPr>
          <w:rFonts w:ascii="仿宋" w:eastAsia="仿宋" w:hAnsi="仿宋"/>
          <w:sz w:val="30"/>
          <w:szCs w:val="30"/>
        </w:rPr>
      </w:pPr>
      <w:bookmarkStart w:id="62" w:name="_Toc481080014"/>
      <w:r>
        <w:rPr>
          <w:rStyle w:val="a9"/>
          <w:rFonts w:ascii="仿宋" w:eastAsia="仿宋" w:hAnsi="仿宋" w:cs="Arial" w:hint="eastAsia"/>
          <w:b/>
          <w:bCs/>
          <w:sz w:val="30"/>
          <w:szCs w:val="30"/>
        </w:rPr>
        <w:t>五、</w:t>
      </w:r>
      <w:bookmarkEnd w:id="62"/>
      <w:r>
        <w:rPr>
          <w:rStyle w:val="a9"/>
          <w:rFonts w:ascii="仿宋" w:eastAsia="仿宋" w:hAnsi="仿宋" w:cs="Arial" w:hint="eastAsia"/>
          <w:b/>
          <w:bCs/>
          <w:sz w:val="30"/>
          <w:szCs w:val="30"/>
        </w:rPr>
        <w:t>经营管理层成员及其基本情况</w:t>
      </w:r>
    </w:p>
    <w:p w:rsidR="00B5421D" w:rsidRDefault="00BF1FF1" w:rsidP="00920CDA">
      <w:pPr>
        <w:pStyle w:val="a8"/>
        <w:spacing w:before="0" w:beforeAutospacing="0" w:after="0" w:afterAutospacing="0" w:line="40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本行经营管理层的任职资格和选聘程序、经营管理层的人数和人员构成符合《章程》的规定要求。本行经营管理层由1名行长主持经营班子工作，1名副行长、1名董事会秘书及 1名行长助理协助行长工作。</w:t>
      </w:r>
    </w:p>
    <w:tbl>
      <w:tblPr>
        <w:tblW w:w="6399"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1411"/>
        <w:gridCol w:w="1189"/>
        <w:gridCol w:w="1653"/>
        <w:gridCol w:w="2146"/>
      </w:tblGrid>
      <w:tr w:rsidR="00B5421D">
        <w:trPr>
          <w:trHeight w:val="576"/>
          <w:jc w:val="center"/>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1"/>
              <w:jc w:val="both"/>
              <w:rPr>
                <w:rFonts w:ascii="仿宋" w:eastAsia="仿宋" w:hAnsi="仿宋"/>
              </w:rPr>
            </w:pPr>
            <w:r>
              <w:rPr>
                <w:rStyle w:val="a9"/>
                <w:rFonts w:ascii="仿宋" w:eastAsia="仿宋" w:hAnsi="仿宋" w:cs="Times New Roman" w:hint="eastAsia"/>
              </w:rPr>
              <w:lastRenderedPageBreak/>
              <w:t>姓名</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1"/>
              <w:rPr>
                <w:rFonts w:ascii="仿宋" w:eastAsia="仿宋" w:hAnsi="仿宋"/>
              </w:rPr>
            </w:pPr>
            <w:r>
              <w:rPr>
                <w:rStyle w:val="a9"/>
                <w:rFonts w:ascii="仿宋" w:eastAsia="仿宋" w:hAnsi="仿宋" w:cs="Times New Roman" w:hint="eastAsia"/>
              </w:rPr>
              <w:t>性别</w:t>
            </w:r>
          </w:p>
        </w:tc>
        <w:tc>
          <w:tcPr>
            <w:tcW w:w="1653" w:type="dxa"/>
            <w:tcBorders>
              <w:top w:val="single" w:sz="4" w:space="0" w:color="auto"/>
              <w:left w:val="single" w:sz="4" w:space="0" w:color="auto"/>
              <w:bottom w:val="single" w:sz="4" w:space="0" w:color="auto"/>
              <w:right w:val="single" w:sz="8" w:space="0" w:color="DDDDDD"/>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2"/>
              <w:rPr>
                <w:rFonts w:ascii="仿宋" w:eastAsia="仿宋" w:hAnsi="仿宋"/>
              </w:rPr>
            </w:pPr>
            <w:r>
              <w:rPr>
                <w:rStyle w:val="a9"/>
                <w:rFonts w:ascii="仿宋" w:eastAsia="仿宋" w:hAnsi="仿宋" w:cs="Times New Roman" w:hint="eastAsia"/>
              </w:rPr>
              <w:t>学历</w:t>
            </w:r>
          </w:p>
        </w:tc>
        <w:tc>
          <w:tcPr>
            <w:tcW w:w="214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2"/>
              <w:jc w:val="both"/>
              <w:rPr>
                <w:rFonts w:ascii="仿宋" w:eastAsia="仿宋" w:hAnsi="仿宋"/>
              </w:rPr>
            </w:pPr>
            <w:r>
              <w:rPr>
                <w:rStyle w:val="a9"/>
                <w:rFonts w:ascii="仿宋" w:eastAsia="仿宋" w:hAnsi="仿宋" w:cs="Times New Roman" w:hint="eastAsia"/>
              </w:rPr>
              <w:t>职务</w:t>
            </w:r>
          </w:p>
        </w:tc>
      </w:tr>
      <w:tr w:rsidR="00B5421D">
        <w:trPr>
          <w:trHeight w:val="576"/>
          <w:jc w:val="center"/>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rPr>
            </w:pPr>
            <w:r>
              <w:rPr>
                <w:rFonts w:ascii="仿宋" w:eastAsia="仿宋" w:hAnsi="仿宋" w:cs="Times New Roman" w:hint="eastAsia"/>
              </w:rPr>
              <w:t>贾孟辉</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rPr>
            </w:pPr>
            <w:r>
              <w:rPr>
                <w:rFonts w:ascii="仿宋" w:eastAsia="仿宋" w:hAnsi="仿宋" w:cs="Times New Roman" w:hint="eastAsia"/>
              </w:rPr>
              <w:t>男</w:t>
            </w:r>
          </w:p>
        </w:tc>
        <w:tc>
          <w:tcPr>
            <w:tcW w:w="16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本科</w:t>
            </w:r>
          </w:p>
        </w:tc>
        <w:tc>
          <w:tcPr>
            <w:tcW w:w="214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行长</w:t>
            </w:r>
          </w:p>
        </w:tc>
      </w:tr>
      <w:tr w:rsidR="00B5421D">
        <w:trPr>
          <w:trHeight w:val="576"/>
          <w:jc w:val="center"/>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cs="Times New Roman"/>
              </w:rPr>
            </w:pPr>
            <w:r>
              <w:rPr>
                <w:rFonts w:ascii="仿宋" w:eastAsia="仿宋" w:hAnsi="仿宋" w:cs="Times New Roman" w:hint="eastAsia"/>
              </w:rPr>
              <w:t>巨乐乐</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cs="Times New Roman"/>
              </w:rPr>
            </w:pPr>
            <w:r>
              <w:rPr>
                <w:rFonts w:ascii="仿宋" w:eastAsia="仿宋" w:hAnsi="仿宋" w:cs="Times New Roman" w:hint="eastAsia"/>
              </w:rPr>
              <w:t>男</w:t>
            </w:r>
          </w:p>
        </w:tc>
        <w:tc>
          <w:tcPr>
            <w:tcW w:w="16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cs="Times New Roman"/>
              </w:rPr>
            </w:pPr>
            <w:r>
              <w:rPr>
                <w:rFonts w:ascii="仿宋" w:eastAsia="仿宋" w:hAnsi="仿宋" w:cs="Times New Roman" w:hint="eastAsia"/>
              </w:rPr>
              <w:t>本科</w:t>
            </w:r>
          </w:p>
        </w:tc>
        <w:tc>
          <w:tcPr>
            <w:tcW w:w="214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cs="Times New Roman"/>
              </w:rPr>
            </w:pPr>
            <w:r>
              <w:rPr>
                <w:rFonts w:ascii="仿宋" w:eastAsia="仿宋" w:hAnsi="仿宋" w:cs="Times New Roman" w:hint="eastAsia"/>
              </w:rPr>
              <w:t>副行长</w:t>
            </w:r>
          </w:p>
        </w:tc>
      </w:tr>
      <w:tr w:rsidR="00B5421D">
        <w:trPr>
          <w:trHeight w:val="576"/>
          <w:jc w:val="center"/>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cs="Times New Roman"/>
              </w:rPr>
            </w:pPr>
            <w:r>
              <w:rPr>
                <w:rFonts w:ascii="仿宋" w:eastAsia="仿宋" w:hAnsi="仿宋" w:cs="Times New Roman" w:hint="eastAsia"/>
              </w:rPr>
              <w:t>李少杰</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cs="Times New Roman"/>
              </w:rPr>
            </w:pPr>
            <w:r>
              <w:rPr>
                <w:rFonts w:ascii="仿宋" w:eastAsia="仿宋" w:hAnsi="仿宋" w:cs="Times New Roman" w:hint="eastAsia"/>
              </w:rPr>
              <w:t>男</w:t>
            </w:r>
          </w:p>
        </w:tc>
        <w:tc>
          <w:tcPr>
            <w:tcW w:w="16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cs="Times New Roman"/>
              </w:rPr>
            </w:pPr>
            <w:r>
              <w:rPr>
                <w:rFonts w:ascii="仿宋" w:eastAsia="仿宋" w:hAnsi="仿宋" w:cs="Times New Roman" w:hint="eastAsia"/>
              </w:rPr>
              <w:t>本科</w:t>
            </w:r>
          </w:p>
        </w:tc>
        <w:tc>
          <w:tcPr>
            <w:tcW w:w="214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cs="Times New Roman"/>
              </w:rPr>
            </w:pPr>
            <w:r>
              <w:rPr>
                <w:rFonts w:ascii="仿宋" w:eastAsia="仿宋" w:hAnsi="仿宋" w:cs="Times New Roman" w:hint="eastAsia"/>
              </w:rPr>
              <w:t>董事会秘书</w:t>
            </w:r>
          </w:p>
        </w:tc>
      </w:tr>
      <w:tr w:rsidR="00B5421D">
        <w:trPr>
          <w:trHeight w:val="585"/>
          <w:jc w:val="center"/>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rPr>
            </w:pPr>
            <w:bookmarkStart w:id="63" w:name="_Toc227401551"/>
            <w:bookmarkStart w:id="64" w:name="_Toc481080015"/>
            <w:bookmarkEnd w:id="63"/>
            <w:r>
              <w:rPr>
                <w:rFonts w:ascii="仿宋" w:eastAsia="仿宋" w:hAnsi="仿宋" w:cs="Times New Roman" w:hint="eastAsia"/>
              </w:rPr>
              <w:t>乔舒梦</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100" w:firstLine="240"/>
              <w:jc w:val="both"/>
              <w:rPr>
                <w:rFonts w:ascii="仿宋" w:eastAsia="仿宋" w:hAnsi="仿宋"/>
              </w:rPr>
            </w:pPr>
            <w:r>
              <w:rPr>
                <w:rFonts w:ascii="仿宋" w:eastAsia="仿宋" w:hAnsi="仿宋" w:cs="Times New Roman" w:hint="eastAsia"/>
              </w:rPr>
              <w:t>女</w:t>
            </w:r>
          </w:p>
        </w:tc>
        <w:tc>
          <w:tcPr>
            <w:tcW w:w="16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本科</w:t>
            </w:r>
          </w:p>
        </w:tc>
        <w:tc>
          <w:tcPr>
            <w:tcW w:w="214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5421D" w:rsidRDefault="00BF1FF1">
            <w:pPr>
              <w:pStyle w:val="a8"/>
              <w:spacing w:before="0" w:beforeAutospacing="0" w:after="0" w:afterAutospacing="0" w:line="600" w:lineRule="exact"/>
              <w:ind w:firstLineChars="200" w:firstLine="480"/>
              <w:jc w:val="both"/>
              <w:rPr>
                <w:rFonts w:ascii="仿宋" w:eastAsia="仿宋" w:hAnsi="仿宋"/>
              </w:rPr>
            </w:pPr>
            <w:r>
              <w:rPr>
                <w:rFonts w:ascii="仿宋" w:eastAsia="仿宋" w:hAnsi="仿宋" w:cs="Times New Roman" w:hint="eastAsia"/>
              </w:rPr>
              <w:t>行长助理</w:t>
            </w:r>
          </w:p>
        </w:tc>
      </w:tr>
    </w:tbl>
    <w:p w:rsidR="00B5421D" w:rsidRDefault="00BF1FF1">
      <w:pPr>
        <w:pStyle w:val="2"/>
        <w:spacing w:line="560" w:lineRule="exact"/>
        <w:ind w:firstLineChars="200" w:firstLine="602"/>
        <w:jc w:val="both"/>
        <w:rPr>
          <w:rFonts w:ascii="仿宋" w:eastAsia="仿宋" w:hAnsi="仿宋"/>
          <w:sz w:val="30"/>
          <w:szCs w:val="30"/>
        </w:rPr>
      </w:pPr>
      <w:r>
        <w:rPr>
          <w:rStyle w:val="a9"/>
          <w:rFonts w:ascii="仿宋" w:eastAsia="仿宋" w:hAnsi="仿宋" w:cs="Arial" w:hint="eastAsia"/>
          <w:b/>
          <w:bCs/>
          <w:sz w:val="30"/>
          <w:szCs w:val="30"/>
        </w:rPr>
        <w:t>六、</w:t>
      </w:r>
      <w:bookmarkEnd w:id="64"/>
      <w:r>
        <w:rPr>
          <w:rStyle w:val="a9"/>
          <w:rFonts w:ascii="仿宋" w:eastAsia="仿宋" w:hAnsi="仿宋" w:cs="Arial" w:hint="eastAsia"/>
          <w:b/>
          <w:bCs/>
          <w:sz w:val="30"/>
          <w:szCs w:val="30"/>
        </w:rPr>
        <w:t>职能部门与分支机构设置情况</w:t>
      </w:r>
    </w:p>
    <w:p w:rsidR="00B5421D" w:rsidRDefault="00BF1FF1">
      <w:pPr>
        <w:pStyle w:val="a8"/>
        <w:spacing w:before="0" w:beforeAutospacing="0" w:after="0" w:afterAutospacing="0" w:line="560" w:lineRule="exact"/>
        <w:ind w:firstLineChars="200" w:firstLine="600"/>
        <w:jc w:val="both"/>
        <w:rPr>
          <w:rFonts w:ascii="仿宋" w:eastAsia="仿宋" w:hAnsi="仿宋" w:cs="Times New Roman"/>
          <w:sz w:val="30"/>
          <w:szCs w:val="30"/>
        </w:rPr>
      </w:pPr>
      <w:bookmarkStart w:id="65" w:name="_（一）职能部门设置情况"/>
      <w:bookmarkEnd w:id="65"/>
      <w:r>
        <w:rPr>
          <w:rFonts w:ascii="仿宋" w:eastAsia="仿宋" w:hAnsi="仿宋" w:cs="Times New Roman" w:hint="eastAsia"/>
          <w:sz w:val="30"/>
          <w:szCs w:val="30"/>
        </w:rPr>
        <w:t>本行机构设置遵循“简洁、高效”原则，本行下设综合办公室、信贷管理部、计划财务部、风险合规部、科技部、运维部6个职能部门和营业部、庙上支行、临晋支行、耽子支行、孙吉支行、角杯支行、北辛支行。</w:t>
      </w:r>
    </w:p>
    <w:p w:rsidR="00B5421D" w:rsidRDefault="00BF1FF1">
      <w:pPr>
        <w:pStyle w:val="a8"/>
        <w:spacing w:before="0" w:beforeAutospacing="0" w:after="0" w:afterAutospacing="0" w:line="560" w:lineRule="exact"/>
        <w:ind w:firstLineChars="200" w:firstLine="600"/>
        <w:jc w:val="both"/>
        <w:rPr>
          <w:rFonts w:ascii="仿宋" w:eastAsia="仿宋" w:hAnsi="仿宋" w:cs="Times New Roman"/>
          <w:sz w:val="30"/>
          <w:szCs w:val="30"/>
        </w:rPr>
      </w:pPr>
      <w:bookmarkStart w:id="66" w:name="_Toc193883081"/>
      <w:r>
        <w:rPr>
          <w:rFonts w:ascii="仿宋" w:eastAsia="仿宋" w:hAnsi="仿宋" w:cs="Times New Roman" w:hint="eastAsia"/>
          <w:sz w:val="30"/>
          <w:szCs w:val="30"/>
        </w:rPr>
        <w:t>本行在岗正式员工120人，其中2名具有硕士研究生学历，58名具有大专学历，60名具有本科学历，员工平均年龄30岁。</w:t>
      </w:r>
      <w:bookmarkEnd w:id="66"/>
    </w:p>
    <w:p w:rsidR="00B5421D" w:rsidRDefault="00BF1FF1">
      <w:pPr>
        <w:pStyle w:val="1"/>
        <w:spacing w:before="0" w:beforeAutospacing="0" w:after="0" w:afterAutospacing="0" w:line="560" w:lineRule="exact"/>
        <w:jc w:val="center"/>
        <w:rPr>
          <w:rFonts w:ascii="仿宋" w:eastAsia="仿宋" w:hAnsi="仿宋"/>
          <w:sz w:val="30"/>
          <w:szCs w:val="30"/>
        </w:rPr>
      </w:pPr>
      <w:bookmarkStart w:id="67" w:name="_Toc481080016"/>
      <w:r>
        <w:rPr>
          <w:rStyle w:val="a9"/>
          <w:rFonts w:ascii="仿宋" w:eastAsia="仿宋" w:hAnsi="仿宋" w:hint="eastAsia"/>
          <w:b/>
          <w:bCs/>
          <w:sz w:val="30"/>
          <w:szCs w:val="30"/>
        </w:rPr>
        <w:t>第六章　年度重大事项</w:t>
      </w:r>
      <w:bookmarkEnd w:id="67"/>
    </w:p>
    <w:p w:rsidR="00B5421D" w:rsidRDefault="00BF1FF1">
      <w:pPr>
        <w:pStyle w:val="2"/>
        <w:spacing w:line="560" w:lineRule="exact"/>
        <w:ind w:firstLineChars="200" w:firstLine="602"/>
        <w:jc w:val="both"/>
        <w:rPr>
          <w:rFonts w:ascii="仿宋" w:eastAsia="仿宋" w:hAnsi="仿宋"/>
          <w:sz w:val="30"/>
          <w:szCs w:val="30"/>
        </w:rPr>
      </w:pPr>
      <w:bookmarkStart w:id="68" w:name="_Toc481080017"/>
      <w:r>
        <w:rPr>
          <w:rStyle w:val="a9"/>
          <w:rFonts w:ascii="仿宋" w:eastAsia="仿宋" w:hAnsi="仿宋" w:cs="Arial" w:hint="eastAsia"/>
          <w:b/>
          <w:bCs/>
          <w:sz w:val="30"/>
          <w:szCs w:val="30"/>
        </w:rPr>
        <w:t>一、</w:t>
      </w:r>
      <w:bookmarkEnd w:id="68"/>
      <w:r>
        <w:rPr>
          <w:rStyle w:val="a9"/>
          <w:rFonts w:ascii="仿宋" w:eastAsia="仿宋" w:hAnsi="仿宋" w:cs="Arial" w:hint="eastAsia"/>
          <w:b/>
          <w:bCs/>
          <w:sz w:val="30"/>
          <w:szCs w:val="30"/>
        </w:rPr>
        <w:t>最大十名股东及报告期内变动情况</w:t>
      </w:r>
    </w:p>
    <w:p w:rsidR="00B5421D" w:rsidRDefault="00BF1FF1">
      <w:pPr>
        <w:pStyle w:val="a8"/>
        <w:spacing w:before="0" w:beforeAutospacing="0" w:after="0" w:afterAutospacing="0" w:line="560" w:lineRule="exact"/>
        <w:ind w:firstLineChars="200" w:firstLine="600"/>
        <w:jc w:val="both"/>
        <w:rPr>
          <w:rFonts w:ascii="仿宋" w:eastAsia="仿宋" w:hAnsi="仿宋" w:cs="Times New Roman"/>
          <w:sz w:val="30"/>
          <w:szCs w:val="30"/>
          <w:highlight w:val="yellow"/>
        </w:rPr>
      </w:pPr>
      <w:r>
        <w:rPr>
          <w:rFonts w:ascii="仿宋" w:eastAsia="仿宋" w:hAnsi="仿宋" w:cs="Times New Roman" w:hint="eastAsia"/>
          <w:sz w:val="30"/>
          <w:szCs w:val="30"/>
        </w:rPr>
        <w:t>2024年度，本行最大和唯一大股东为山西侯马农村商业银行股份有限公司（主发起行），占股20%；共有十五名股东，最大股东持股1200万元，持股比例20%。具体如下：</w:t>
      </w:r>
    </w:p>
    <w:tbl>
      <w:tblPr>
        <w:tblW w:w="9521"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734"/>
        <w:gridCol w:w="5370"/>
        <w:gridCol w:w="2250"/>
        <w:gridCol w:w="1167"/>
      </w:tblGrid>
      <w:tr w:rsidR="00B5421D">
        <w:trPr>
          <w:trHeight w:val="440"/>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jc w:val="both"/>
              <w:rPr>
                <w:rFonts w:ascii="仿宋" w:eastAsia="仿宋" w:hAnsi="仿宋"/>
              </w:rPr>
            </w:pPr>
            <w:r>
              <w:rPr>
                <w:rStyle w:val="a9"/>
                <w:rFonts w:ascii="仿宋" w:eastAsia="仿宋" w:hAnsi="仿宋" w:cs="Times New Roman" w:hint="eastAsia"/>
              </w:rPr>
              <w:t>序号</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ind w:firstLineChars="200" w:firstLine="482"/>
              <w:jc w:val="center"/>
              <w:rPr>
                <w:rFonts w:ascii="仿宋" w:eastAsia="仿宋" w:hAnsi="仿宋"/>
              </w:rPr>
            </w:pPr>
            <w:r>
              <w:rPr>
                <w:rStyle w:val="a9"/>
                <w:rFonts w:ascii="仿宋" w:eastAsia="仿宋" w:hAnsi="仿宋" w:cs="Times New Roman" w:hint="eastAsia"/>
              </w:rPr>
              <w:t>姓</w:t>
            </w:r>
            <w:r>
              <w:rPr>
                <w:rStyle w:val="a9"/>
                <w:rFonts w:eastAsia="仿宋" w:hint="eastAsia"/>
              </w:rPr>
              <w:t> </w:t>
            </w:r>
            <w:r>
              <w:rPr>
                <w:rStyle w:val="a9"/>
                <w:rFonts w:ascii="仿宋" w:eastAsia="仿宋" w:hAnsi="仿宋" w:cs="Times New Roman" w:hint="eastAsia"/>
              </w:rPr>
              <w:t>名</w:t>
            </w:r>
          </w:p>
        </w:tc>
        <w:tc>
          <w:tcPr>
            <w:tcW w:w="2250" w:type="dxa"/>
            <w:tcBorders>
              <w:top w:val="single" w:sz="4" w:space="0" w:color="auto"/>
              <w:left w:val="single" w:sz="4" w:space="0" w:color="auto"/>
              <w:bottom w:val="single" w:sz="4" w:space="0" w:color="auto"/>
              <w:right w:val="single" w:sz="8" w:space="0" w:color="DDDDDD"/>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jc w:val="both"/>
              <w:rPr>
                <w:rFonts w:ascii="仿宋" w:eastAsia="仿宋" w:hAnsi="仿宋"/>
              </w:rPr>
            </w:pPr>
            <w:r>
              <w:rPr>
                <w:rStyle w:val="a9"/>
                <w:rFonts w:ascii="仿宋" w:eastAsia="仿宋" w:hAnsi="仿宋" w:cs="Times New Roman" w:hint="eastAsia"/>
              </w:rPr>
              <w:t>持股股金额（万元）</w:t>
            </w:r>
          </w:p>
        </w:tc>
        <w:tc>
          <w:tcPr>
            <w:tcW w:w="1167"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jc w:val="both"/>
              <w:rPr>
                <w:rFonts w:ascii="仿宋" w:eastAsia="仿宋" w:hAnsi="仿宋"/>
              </w:rPr>
            </w:pPr>
            <w:r>
              <w:rPr>
                <w:rStyle w:val="a9"/>
                <w:rFonts w:ascii="仿宋" w:eastAsia="仿宋" w:hAnsi="仿宋" w:cs="Times New Roman" w:hint="eastAsia"/>
              </w:rPr>
              <w:t>股份比例%</w:t>
            </w:r>
          </w:p>
        </w:tc>
      </w:tr>
      <w:tr w:rsidR="00B5421D">
        <w:trPr>
          <w:trHeight w:val="470"/>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jc w:val="both"/>
              <w:rPr>
                <w:rFonts w:ascii="仿宋" w:eastAsia="仿宋" w:hAnsi="仿宋"/>
              </w:rPr>
            </w:pPr>
            <w:r>
              <w:rPr>
                <w:rFonts w:ascii="仿宋" w:eastAsia="仿宋" w:hAnsi="仿宋" w:cs="Times New Roman" w:hint="eastAsia"/>
              </w:rPr>
              <w:t>1</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jc w:val="both"/>
              <w:rPr>
                <w:rFonts w:ascii="仿宋" w:eastAsia="仿宋" w:hAnsi="仿宋"/>
              </w:rPr>
            </w:pPr>
            <w:r>
              <w:rPr>
                <w:rFonts w:ascii="仿宋" w:eastAsia="仿宋" w:hAnsi="仿宋" w:cs="Times New Roman" w:hint="eastAsia"/>
              </w:rPr>
              <w:t>山西侯马农村商业银行股份有限公司（主发起行）</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ind w:firstLineChars="200" w:firstLine="480"/>
              <w:jc w:val="center"/>
              <w:rPr>
                <w:rFonts w:ascii="仿宋" w:eastAsia="仿宋" w:hAnsi="仿宋"/>
              </w:rPr>
            </w:pPr>
            <w:r>
              <w:rPr>
                <w:rFonts w:ascii="仿宋" w:eastAsia="仿宋" w:hAnsi="仿宋" w:cs="Times New Roman" w:hint="eastAsia"/>
              </w:rPr>
              <w:t>1200</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560" w:lineRule="exact"/>
              <w:ind w:firstLineChars="200" w:firstLine="480"/>
              <w:jc w:val="center"/>
              <w:rPr>
                <w:rFonts w:ascii="仿宋" w:eastAsia="仿宋" w:hAnsi="仿宋"/>
              </w:rPr>
            </w:pPr>
            <w:r>
              <w:rPr>
                <w:rFonts w:ascii="仿宋" w:eastAsia="仿宋" w:hAnsi="仿宋" w:cs="Times New Roman" w:hint="eastAsia"/>
              </w:rPr>
              <w:t>20</w:t>
            </w:r>
          </w:p>
        </w:tc>
      </w:tr>
      <w:tr w:rsidR="00B5421D" w:rsidTr="006D268F">
        <w:trPr>
          <w:trHeight w:val="466"/>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4"/>
              <w:spacing w:before="0" w:beforeAutospacing="0" w:after="0" w:afterAutospacing="0" w:line="600" w:lineRule="exact"/>
              <w:jc w:val="both"/>
              <w:rPr>
                <w:rFonts w:ascii="仿宋" w:eastAsia="仿宋" w:hAnsi="仿宋"/>
              </w:rPr>
            </w:pPr>
            <w:r>
              <w:rPr>
                <w:rFonts w:ascii="仿宋" w:eastAsia="仿宋" w:hAnsi="仿宋" w:hint="eastAsia"/>
              </w:rPr>
              <w:t>2</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rPr>
              <w:t>吉林德惠农村商业银行股份有限公司</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594</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9.9</w:t>
            </w:r>
          </w:p>
        </w:tc>
      </w:tr>
      <w:tr w:rsidR="00B5421D">
        <w:trPr>
          <w:trHeight w:val="421"/>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3</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薛胜利</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600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10</w:t>
            </w:r>
          </w:p>
        </w:tc>
      </w:tr>
      <w:tr w:rsidR="00B5421D" w:rsidTr="00920CDA">
        <w:trPr>
          <w:trHeight w:val="363"/>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lastRenderedPageBreak/>
              <w:t>4</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rPr>
              <w:t>杨长锁</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600</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10</w:t>
            </w:r>
          </w:p>
        </w:tc>
      </w:tr>
      <w:tr w:rsidR="00B5421D">
        <w:trPr>
          <w:trHeight w:val="384"/>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5</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hint="eastAsia"/>
              </w:rPr>
              <w:t>刘彩红</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540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9</w:t>
            </w:r>
          </w:p>
        </w:tc>
      </w:tr>
      <w:tr w:rsidR="00B5421D">
        <w:trPr>
          <w:trHeight w:val="333"/>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6</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hint="eastAsia"/>
              </w:rPr>
              <w:t>魏海军</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480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8</w:t>
            </w:r>
          </w:p>
        </w:tc>
      </w:tr>
      <w:tr w:rsidR="00B5421D">
        <w:trPr>
          <w:trHeight w:val="281"/>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7</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付雪琴</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360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6</w:t>
            </w:r>
          </w:p>
        </w:tc>
      </w:tr>
      <w:tr w:rsidR="00B5421D">
        <w:trPr>
          <w:trHeight w:val="404"/>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8</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段丽萍</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300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5</w:t>
            </w:r>
          </w:p>
        </w:tc>
      </w:tr>
      <w:tr w:rsidR="00B5421D">
        <w:trPr>
          <w:trHeight w:val="35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9</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荆欣</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300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5</w:t>
            </w:r>
          </w:p>
        </w:tc>
      </w:tr>
      <w:tr w:rsidR="00B5421D">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rPr>
            </w:pPr>
            <w:r>
              <w:rPr>
                <w:rFonts w:ascii="仿宋" w:eastAsia="仿宋" w:hAnsi="仿宋" w:cs="Times New Roman" w:hint="eastAsia"/>
              </w:rPr>
              <w:t>10</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袁淑兰</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206</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3.44</w:t>
            </w:r>
          </w:p>
        </w:tc>
      </w:tr>
      <w:tr w:rsidR="00B5421D">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cs="Times New Roman"/>
              </w:rPr>
            </w:pPr>
            <w:r>
              <w:rPr>
                <w:rFonts w:ascii="仿宋" w:eastAsia="仿宋" w:hAnsi="仿宋" w:cs="Times New Roman" w:hint="eastAsia"/>
              </w:rPr>
              <w:t>11</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程占平</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240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4</w:t>
            </w:r>
          </w:p>
        </w:tc>
      </w:tr>
      <w:tr w:rsidR="00B5421D">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cs="Times New Roman"/>
              </w:rPr>
            </w:pPr>
            <w:r>
              <w:rPr>
                <w:rFonts w:ascii="仿宋" w:eastAsia="仿宋" w:hAnsi="仿宋" w:cs="Times New Roman" w:hint="eastAsia"/>
              </w:rPr>
              <w:t>12</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刘永忠</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240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4</w:t>
            </w:r>
          </w:p>
        </w:tc>
      </w:tr>
      <w:tr w:rsidR="00B5421D">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cs="Times New Roman"/>
              </w:rPr>
            </w:pPr>
            <w:r>
              <w:rPr>
                <w:rFonts w:ascii="仿宋" w:eastAsia="仿宋" w:hAnsi="仿宋" w:cs="Times New Roman" w:hint="eastAsia"/>
              </w:rPr>
              <w:t>13</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王稠虎</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180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3</w:t>
            </w:r>
          </w:p>
        </w:tc>
      </w:tr>
      <w:tr w:rsidR="00B5421D">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cs="Times New Roman"/>
              </w:rPr>
            </w:pPr>
            <w:r>
              <w:rPr>
                <w:rFonts w:ascii="仿宋" w:eastAsia="仿宋" w:hAnsi="仿宋" w:cs="Times New Roman" w:hint="eastAsia"/>
              </w:rPr>
              <w:t>14</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王勤生</w:t>
            </w:r>
          </w:p>
        </w:tc>
        <w:tc>
          <w:tcPr>
            <w:tcW w:w="2250"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120</w:t>
            </w:r>
          </w:p>
        </w:tc>
        <w:tc>
          <w:tcPr>
            <w:tcW w:w="1167" w:type="dxa"/>
            <w:tcBorders>
              <w:top w:val="nil"/>
              <w:left w:val="nil"/>
              <w:bottom w:val="single" w:sz="4"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2</w:t>
            </w:r>
          </w:p>
        </w:tc>
      </w:tr>
      <w:tr w:rsidR="00B5421D">
        <w:trPr>
          <w:trHeight w:val="543"/>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jc w:val="both"/>
              <w:rPr>
                <w:rFonts w:ascii="仿宋" w:eastAsia="仿宋" w:hAnsi="仿宋" w:cs="Times New Roman"/>
              </w:rPr>
            </w:pPr>
            <w:r>
              <w:rPr>
                <w:rFonts w:ascii="仿宋" w:eastAsia="仿宋" w:hAnsi="仿宋" w:cs="Times New Roman" w:hint="eastAsia"/>
              </w:rPr>
              <w:t>15</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席小玲</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40</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cs="Times New Roman"/>
              </w:rPr>
            </w:pPr>
            <w:r>
              <w:rPr>
                <w:rFonts w:ascii="仿宋" w:eastAsia="仿宋" w:hAnsi="仿宋" w:cs="Times New Roman" w:hint="eastAsia"/>
              </w:rPr>
              <w:t>0.66</w:t>
            </w:r>
          </w:p>
        </w:tc>
      </w:tr>
      <w:tr w:rsidR="00B5421D">
        <w:trPr>
          <w:trHeight w:val="410"/>
          <w:jc w:val="center"/>
        </w:trPr>
        <w:tc>
          <w:tcPr>
            <w:tcW w:w="610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合计</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6000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B5421D" w:rsidRDefault="00BF1FF1">
            <w:pPr>
              <w:pStyle w:val="a8"/>
              <w:spacing w:before="0" w:beforeAutospacing="0" w:after="0" w:afterAutospacing="0" w:line="600" w:lineRule="exact"/>
              <w:ind w:firstLineChars="200" w:firstLine="480"/>
              <w:jc w:val="center"/>
              <w:rPr>
                <w:rFonts w:ascii="仿宋" w:eastAsia="仿宋" w:hAnsi="仿宋"/>
              </w:rPr>
            </w:pPr>
            <w:r>
              <w:rPr>
                <w:rFonts w:ascii="仿宋" w:eastAsia="仿宋" w:hAnsi="仿宋" w:cs="Times New Roman" w:hint="eastAsia"/>
              </w:rPr>
              <w:t>100</w:t>
            </w:r>
          </w:p>
        </w:tc>
      </w:tr>
    </w:tbl>
    <w:p w:rsidR="00B5421D" w:rsidRDefault="00BF1FF1" w:rsidP="00920CDA">
      <w:pPr>
        <w:pStyle w:val="2"/>
        <w:spacing w:line="560" w:lineRule="exact"/>
        <w:ind w:firstLineChars="200" w:firstLine="602"/>
        <w:jc w:val="both"/>
        <w:rPr>
          <w:rFonts w:ascii="仿宋" w:eastAsia="仿宋" w:hAnsi="仿宋"/>
          <w:sz w:val="30"/>
          <w:szCs w:val="30"/>
        </w:rPr>
      </w:pPr>
      <w:bookmarkStart w:id="69" w:name="_Toc481080018"/>
      <w:r>
        <w:rPr>
          <w:rStyle w:val="a9"/>
          <w:rFonts w:ascii="仿宋" w:eastAsia="仿宋" w:hAnsi="仿宋" w:cs="Arial" w:hint="eastAsia"/>
          <w:b/>
          <w:bCs/>
          <w:sz w:val="30"/>
          <w:szCs w:val="30"/>
        </w:rPr>
        <w:t>二、</w:t>
      </w:r>
      <w:bookmarkEnd w:id="69"/>
      <w:r>
        <w:rPr>
          <w:rStyle w:val="a9"/>
          <w:rFonts w:ascii="仿宋" w:eastAsia="仿宋" w:hAnsi="仿宋" w:cs="Arial" w:hint="eastAsia"/>
          <w:b/>
          <w:bCs/>
          <w:sz w:val="30"/>
          <w:szCs w:val="30"/>
        </w:rPr>
        <w:t>增加或减少注册资本、分立合并事项</w:t>
      </w:r>
    </w:p>
    <w:p w:rsidR="00B5421D" w:rsidRDefault="00BF1FF1" w:rsidP="00920CDA">
      <w:pPr>
        <w:pStyle w:val="a8"/>
        <w:spacing w:before="0" w:beforeAutospacing="0" w:after="0" w:afterAutospacing="0" w:line="56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报告期内，本行没有增加或减少注册资本，无分立合并事项。</w:t>
      </w:r>
    </w:p>
    <w:p w:rsidR="00B5421D" w:rsidRDefault="00BF1FF1" w:rsidP="00920CDA">
      <w:pPr>
        <w:pStyle w:val="a8"/>
        <w:spacing w:before="0" w:beforeAutospacing="0" w:after="0" w:afterAutospacing="0" w:line="560" w:lineRule="exact"/>
        <w:ind w:firstLineChars="200" w:firstLine="602"/>
        <w:jc w:val="both"/>
        <w:rPr>
          <w:rFonts w:ascii="仿宋" w:eastAsia="仿宋" w:hAnsi="仿宋"/>
          <w:sz w:val="30"/>
          <w:szCs w:val="30"/>
        </w:rPr>
      </w:pPr>
      <w:bookmarkStart w:id="70" w:name="_Toc481080019"/>
      <w:r>
        <w:rPr>
          <w:rStyle w:val="a9"/>
          <w:rFonts w:ascii="仿宋" w:eastAsia="仿宋" w:hAnsi="仿宋" w:cs="Arial" w:hint="eastAsia"/>
          <w:sz w:val="30"/>
          <w:szCs w:val="30"/>
        </w:rPr>
        <w:t>三、</w:t>
      </w:r>
      <w:bookmarkEnd w:id="70"/>
      <w:r>
        <w:rPr>
          <w:rStyle w:val="a9"/>
          <w:rFonts w:ascii="仿宋" w:eastAsia="仿宋" w:hAnsi="仿宋" w:cs="Arial" w:hint="eastAsia"/>
          <w:sz w:val="30"/>
          <w:szCs w:val="30"/>
        </w:rPr>
        <w:t>本行、本行董事会及董事接受处罚情况</w:t>
      </w:r>
    </w:p>
    <w:p w:rsidR="00B5421D" w:rsidRDefault="00BF1FF1" w:rsidP="00920CDA">
      <w:pPr>
        <w:pStyle w:val="a8"/>
        <w:spacing w:before="0" w:beforeAutospacing="0" w:after="0" w:afterAutospacing="0" w:line="560" w:lineRule="exact"/>
        <w:ind w:firstLineChars="200" w:firstLine="600"/>
        <w:jc w:val="both"/>
        <w:rPr>
          <w:rFonts w:ascii="仿宋" w:eastAsia="仿宋" w:hAnsi="仿宋"/>
          <w:sz w:val="30"/>
          <w:szCs w:val="30"/>
        </w:rPr>
      </w:pPr>
      <w:r>
        <w:rPr>
          <w:rFonts w:ascii="仿宋" w:eastAsia="仿宋" w:hAnsi="仿宋" w:cs="Times New Roman" w:hint="eastAsia"/>
          <w:sz w:val="30"/>
          <w:szCs w:val="30"/>
        </w:rPr>
        <w:t>报告期内，本行、本行董事会及董事没有接受处罚情况。</w:t>
      </w:r>
    </w:p>
    <w:p w:rsidR="00920CDA" w:rsidRDefault="00920CDA" w:rsidP="00920CDA">
      <w:pPr>
        <w:pStyle w:val="a8"/>
        <w:spacing w:before="0" w:beforeAutospacing="0" w:after="0" w:afterAutospacing="0" w:line="600" w:lineRule="exact"/>
        <w:ind w:firstLineChars="200" w:firstLine="600"/>
        <w:jc w:val="right"/>
        <w:rPr>
          <w:sz w:val="30"/>
          <w:szCs w:val="30"/>
        </w:rPr>
      </w:pPr>
    </w:p>
    <w:p w:rsidR="00B5421D" w:rsidRDefault="00BF1FF1" w:rsidP="00920CDA">
      <w:pPr>
        <w:pStyle w:val="a8"/>
        <w:spacing w:before="0" w:beforeAutospacing="0" w:after="0" w:afterAutospacing="0" w:line="600" w:lineRule="exact"/>
        <w:ind w:firstLineChars="200" w:firstLine="600"/>
        <w:jc w:val="right"/>
        <w:rPr>
          <w:rFonts w:ascii="仿宋" w:eastAsia="仿宋" w:hAnsi="仿宋"/>
          <w:sz w:val="30"/>
          <w:szCs w:val="30"/>
        </w:rPr>
      </w:pPr>
      <w:r>
        <w:rPr>
          <w:rFonts w:hint="eastAsia"/>
          <w:sz w:val="30"/>
          <w:szCs w:val="30"/>
        </w:rPr>
        <w:t> </w:t>
      </w:r>
      <w:r>
        <w:rPr>
          <w:rFonts w:ascii="仿宋" w:eastAsia="仿宋" w:hAnsi="仿宋" w:cs="Times New Roman" w:hint="eastAsia"/>
          <w:sz w:val="30"/>
          <w:szCs w:val="30"/>
        </w:rPr>
        <w:t>临猗县新田村镇银行股份有限公司</w:t>
      </w:r>
    </w:p>
    <w:p w:rsidR="00B5421D" w:rsidRDefault="00BF1FF1">
      <w:pPr>
        <w:pStyle w:val="a8"/>
        <w:spacing w:before="0" w:beforeAutospacing="0" w:after="0" w:afterAutospacing="0" w:line="600" w:lineRule="exact"/>
        <w:ind w:firstLineChars="200" w:firstLine="600"/>
        <w:jc w:val="right"/>
        <w:rPr>
          <w:rFonts w:ascii="仿宋" w:eastAsia="仿宋" w:hAnsi="仿宋"/>
          <w:sz w:val="30"/>
          <w:szCs w:val="30"/>
        </w:rPr>
      </w:pPr>
      <w:r>
        <w:rPr>
          <w:rFonts w:ascii="仿宋" w:eastAsia="仿宋" w:hAnsi="仿宋" w:cs="Times New Roman" w:hint="eastAsia"/>
          <w:sz w:val="30"/>
          <w:szCs w:val="30"/>
        </w:rPr>
        <w:t>二0二</w:t>
      </w:r>
      <w:r w:rsidR="005D594D">
        <w:rPr>
          <w:rFonts w:ascii="仿宋" w:eastAsia="仿宋" w:hAnsi="仿宋" w:cs="Times New Roman" w:hint="eastAsia"/>
          <w:sz w:val="30"/>
          <w:szCs w:val="30"/>
        </w:rPr>
        <w:t>四</w:t>
      </w:r>
      <w:r>
        <w:rPr>
          <w:rFonts w:ascii="仿宋" w:eastAsia="仿宋" w:hAnsi="仿宋" w:cs="Times New Roman" w:hint="eastAsia"/>
          <w:sz w:val="30"/>
          <w:szCs w:val="30"/>
        </w:rPr>
        <w:t>年十二月三十一日</w:t>
      </w:r>
    </w:p>
    <w:sectPr w:rsidR="00B5421D" w:rsidSect="00B5421D">
      <w:footerReference w:type="default" r:id="rId7"/>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42" w:rsidRDefault="000F5142" w:rsidP="00B5421D">
      <w:pPr>
        <w:spacing w:after="0"/>
      </w:pPr>
      <w:r>
        <w:separator/>
      </w:r>
    </w:p>
  </w:endnote>
  <w:endnote w:type="continuationSeparator" w:id="1">
    <w:p w:rsidR="000F5142" w:rsidRDefault="000F5142" w:rsidP="00B542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8832"/>
    </w:sdtPr>
    <w:sdtContent>
      <w:sdt>
        <w:sdtPr>
          <w:id w:val="171357217"/>
        </w:sdtPr>
        <w:sdtContent>
          <w:p w:rsidR="00260AD0" w:rsidRDefault="00BB676D">
            <w:pPr>
              <w:pStyle w:val="a6"/>
              <w:jc w:val="center"/>
            </w:pPr>
            <w:r>
              <w:rPr>
                <w:b/>
                <w:sz w:val="24"/>
                <w:szCs w:val="24"/>
              </w:rPr>
              <w:fldChar w:fldCharType="begin"/>
            </w:r>
            <w:r w:rsidR="00260AD0">
              <w:rPr>
                <w:b/>
              </w:rPr>
              <w:instrText>PAGE</w:instrText>
            </w:r>
            <w:r>
              <w:rPr>
                <w:b/>
                <w:sz w:val="24"/>
                <w:szCs w:val="24"/>
              </w:rPr>
              <w:fldChar w:fldCharType="separate"/>
            </w:r>
            <w:r w:rsidR="002C7992">
              <w:rPr>
                <w:b/>
                <w:noProof/>
              </w:rPr>
              <w:t>1</w:t>
            </w:r>
            <w:r>
              <w:rPr>
                <w:b/>
                <w:sz w:val="24"/>
                <w:szCs w:val="24"/>
              </w:rPr>
              <w:fldChar w:fldCharType="end"/>
            </w:r>
            <w:r w:rsidR="00260AD0">
              <w:rPr>
                <w:lang w:val="zh-CN"/>
              </w:rPr>
              <w:t xml:space="preserve"> / </w:t>
            </w:r>
            <w:r>
              <w:rPr>
                <w:b/>
                <w:sz w:val="24"/>
                <w:szCs w:val="24"/>
              </w:rPr>
              <w:fldChar w:fldCharType="begin"/>
            </w:r>
            <w:r w:rsidR="00260AD0">
              <w:rPr>
                <w:b/>
              </w:rPr>
              <w:instrText>NUMPAGES</w:instrText>
            </w:r>
            <w:r>
              <w:rPr>
                <w:b/>
                <w:sz w:val="24"/>
                <w:szCs w:val="24"/>
              </w:rPr>
              <w:fldChar w:fldCharType="separate"/>
            </w:r>
            <w:r w:rsidR="002C7992">
              <w:rPr>
                <w:b/>
                <w:noProof/>
              </w:rPr>
              <w:t>34</w:t>
            </w:r>
            <w:r>
              <w:rPr>
                <w:b/>
                <w:sz w:val="24"/>
                <w:szCs w:val="24"/>
              </w:rPr>
              <w:fldChar w:fldCharType="end"/>
            </w:r>
          </w:p>
        </w:sdtContent>
      </w:sdt>
    </w:sdtContent>
  </w:sdt>
  <w:p w:rsidR="00260AD0" w:rsidRDefault="00260A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42" w:rsidRDefault="000F5142" w:rsidP="00B5421D">
      <w:pPr>
        <w:spacing w:after="0"/>
      </w:pPr>
      <w:r>
        <w:separator/>
      </w:r>
    </w:p>
  </w:footnote>
  <w:footnote w:type="continuationSeparator" w:id="1">
    <w:p w:rsidR="000F5142" w:rsidRDefault="000F5142" w:rsidP="00B5421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noPunctuationKerning/>
  <w:characterSpacingControl w:val="doNotCompress"/>
  <w:hdrShapeDefaults>
    <o:shapedefaults v:ext="edit" spidmax="13314"/>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useAltKinsokuLineBreakRules/>
  </w:compat>
  <w:docVars>
    <w:docVar w:name="commondata" w:val="eyJoZGlkIjoiOTgyMTlkYzgyNjMwZGU0MTEzMmJkMjkzZTQ2NGVlMWQifQ=="/>
  </w:docVars>
  <w:rsids>
    <w:rsidRoot w:val="00172A27"/>
    <w:rsid w:val="00014E2D"/>
    <w:rsid w:val="000179BF"/>
    <w:rsid w:val="00027F34"/>
    <w:rsid w:val="00033005"/>
    <w:rsid w:val="00033118"/>
    <w:rsid w:val="0004026E"/>
    <w:rsid w:val="00041B7D"/>
    <w:rsid w:val="00044F7D"/>
    <w:rsid w:val="00054701"/>
    <w:rsid w:val="0006039E"/>
    <w:rsid w:val="000614C2"/>
    <w:rsid w:val="00067C82"/>
    <w:rsid w:val="00073C66"/>
    <w:rsid w:val="0008230C"/>
    <w:rsid w:val="00093C71"/>
    <w:rsid w:val="000A0F5B"/>
    <w:rsid w:val="000A31AF"/>
    <w:rsid w:val="000A7898"/>
    <w:rsid w:val="000B6F41"/>
    <w:rsid w:val="000C58C1"/>
    <w:rsid w:val="000D07C4"/>
    <w:rsid w:val="000E751E"/>
    <w:rsid w:val="000F5142"/>
    <w:rsid w:val="000F5C7D"/>
    <w:rsid w:val="000F6731"/>
    <w:rsid w:val="001048B8"/>
    <w:rsid w:val="00111444"/>
    <w:rsid w:val="00122337"/>
    <w:rsid w:val="00125F9D"/>
    <w:rsid w:val="001275C9"/>
    <w:rsid w:val="00133D20"/>
    <w:rsid w:val="0014452C"/>
    <w:rsid w:val="00146BB8"/>
    <w:rsid w:val="00147292"/>
    <w:rsid w:val="00147524"/>
    <w:rsid w:val="0015615B"/>
    <w:rsid w:val="00162F67"/>
    <w:rsid w:val="00165E29"/>
    <w:rsid w:val="001663CA"/>
    <w:rsid w:val="0016787A"/>
    <w:rsid w:val="00172A27"/>
    <w:rsid w:val="00174B54"/>
    <w:rsid w:val="00174CCF"/>
    <w:rsid w:val="001828F5"/>
    <w:rsid w:val="001866A1"/>
    <w:rsid w:val="001946D6"/>
    <w:rsid w:val="001C20CD"/>
    <w:rsid w:val="001D2D0F"/>
    <w:rsid w:val="001E7712"/>
    <w:rsid w:val="001E7C11"/>
    <w:rsid w:val="001F06F2"/>
    <w:rsid w:val="001F2A06"/>
    <w:rsid w:val="001F3FC2"/>
    <w:rsid w:val="00202591"/>
    <w:rsid w:val="00211D61"/>
    <w:rsid w:val="002145E6"/>
    <w:rsid w:val="0022248D"/>
    <w:rsid w:val="00236B06"/>
    <w:rsid w:val="002426BC"/>
    <w:rsid w:val="0024355F"/>
    <w:rsid w:val="00246A6D"/>
    <w:rsid w:val="00252BEC"/>
    <w:rsid w:val="00253EB5"/>
    <w:rsid w:val="00260AD0"/>
    <w:rsid w:val="00280824"/>
    <w:rsid w:val="00281732"/>
    <w:rsid w:val="0029085C"/>
    <w:rsid w:val="00292987"/>
    <w:rsid w:val="002A07A5"/>
    <w:rsid w:val="002B003E"/>
    <w:rsid w:val="002B0D0C"/>
    <w:rsid w:val="002B1763"/>
    <w:rsid w:val="002B4FA5"/>
    <w:rsid w:val="002C0BFD"/>
    <w:rsid w:val="002C193C"/>
    <w:rsid w:val="002C1A40"/>
    <w:rsid w:val="002C5ACD"/>
    <w:rsid w:val="002C7992"/>
    <w:rsid w:val="002D1A28"/>
    <w:rsid w:val="002D64DF"/>
    <w:rsid w:val="002E156A"/>
    <w:rsid w:val="002E254D"/>
    <w:rsid w:val="002E5435"/>
    <w:rsid w:val="002E5766"/>
    <w:rsid w:val="002E6E96"/>
    <w:rsid w:val="002F0934"/>
    <w:rsid w:val="002F4ECA"/>
    <w:rsid w:val="002F76A0"/>
    <w:rsid w:val="00303AC2"/>
    <w:rsid w:val="0030621F"/>
    <w:rsid w:val="00310407"/>
    <w:rsid w:val="00310B7B"/>
    <w:rsid w:val="00316235"/>
    <w:rsid w:val="0032148A"/>
    <w:rsid w:val="00323B43"/>
    <w:rsid w:val="00326136"/>
    <w:rsid w:val="003262E7"/>
    <w:rsid w:val="00327C2C"/>
    <w:rsid w:val="00331E2E"/>
    <w:rsid w:val="003416A1"/>
    <w:rsid w:val="00342E02"/>
    <w:rsid w:val="00345399"/>
    <w:rsid w:val="003474EA"/>
    <w:rsid w:val="003631ED"/>
    <w:rsid w:val="00365F94"/>
    <w:rsid w:val="00373D4C"/>
    <w:rsid w:val="003806D5"/>
    <w:rsid w:val="00380CD6"/>
    <w:rsid w:val="00390428"/>
    <w:rsid w:val="00390AD6"/>
    <w:rsid w:val="003A74D3"/>
    <w:rsid w:val="003B0317"/>
    <w:rsid w:val="003B152B"/>
    <w:rsid w:val="003B316A"/>
    <w:rsid w:val="003B4E13"/>
    <w:rsid w:val="003B576D"/>
    <w:rsid w:val="003C34D0"/>
    <w:rsid w:val="003C40FA"/>
    <w:rsid w:val="003D37D8"/>
    <w:rsid w:val="003F1D10"/>
    <w:rsid w:val="003F5769"/>
    <w:rsid w:val="003F59DB"/>
    <w:rsid w:val="003F6A29"/>
    <w:rsid w:val="00401988"/>
    <w:rsid w:val="00405AEE"/>
    <w:rsid w:val="004068D9"/>
    <w:rsid w:val="00411068"/>
    <w:rsid w:val="0041154E"/>
    <w:rsid w:val="004119FE"/>
    <w:rsid w:val="0041715F"/>
    <w:rsid w:val="00421B7F"/>
    <w:rsid w:val="00426133"/>
    <w:rsid w:val="004317D4"/>
    <w:rsid w:val="004337EB"/>
    <w:rsid w:val="004358AB"/>
    <w:rsid w:val="00436896"/>
    <w:rsid w:val="004419AD"/>
    <w:rsid w:val="00462ACA"/>
    <w:rsid w:val="00467014"/>
    <w:rsid w:val="00472C56"/>
    <w:rsid w:val="00474D12"/>
    <w:rsid w:val="004758BC"/>
    <w:rsid w:val="00482F3F"/>
    <w:rsid w:val="0048781F"/>
    <w:rsid w:val="004918AD"/>
    <w:rsid w:val="004946FC"/>
    <w:rsid w:val="00496CAC"/>
    <w:rsid w:val="004A5FB3"/>
    <w:rsid w:val="004C1162"/>
    <w:rsid w:val="004C4B1C"/>
    <w:rsid w:val="004E74E3"/>
    <w:rsid w:val="004F0D3B"/>
    <w:rsid w:val="004F5F25"/>
    <w:rsid w:val="005075D1"/>
    <w:rsid w:val="00515292"/>
    <w:rsid w:val="00515AB9"/>
    <w:rsid w:val="00517685"/>
    <w:rsid w:val="00523042"/>
    <w:rsid w:val="005239B1"/>
    <w:rsid w:val="00524889"/>
    <w:rsid w:val="0052733B"/>
    <w:rsid w:val="0053025C"/>
    <w:rsid w:val="0054146C"/>
    <w:rsid w:val="005424AD"/>
    <w:rsid w:val="0054552C"/>
    <w:rsid w:val="005477DD"/>
    <w:rsid w:val="005508A0"/>
    <w:rsid w:val="00553A2B"/>
    <w:rsid w:val="00554953"/>
    <w:rsid w:val="00561C4E"/>
    <w:rsid w:val="00564BFA"/>
    <w:rsid w:val="00573B98"/>
    <w:rsid w:val="00580494"/>
    <w:rsid w:val="00596795"/>
    <w:rsid w:val="00597043"/>
    <w:rsid w:val="0059761B"/>
    <w:rsid w:val="005A31FF"/>
    <w:rsid w:val="005B14BC"/>
    <w:rsid w:val="005B3C93"/>
    <w:rsid w:val="005B61E0"/>
    <w:rsid w:val="005C7ED6"/>
    <w:rsid w:val="005D0F39"/>
    <w:rsid w:val="005D1EED"/>
    <w:rsid w:val="005D23CC"/>
    <w:rsid w:val="005D4052"/>
    <w:rsid w:val="005D594D"/>
    <w:rsid w:val="005D71C6"/>
    <w:rsid w:val="005E29BB"/>
    <w:rsid w:val="005E4A5D"/>
    <w:rsid w:val="005F001B"/>
    <w:rsid w:val="006110B0"/>
    <w:rsid w:val="0061221C"/>
    <w:rsid w:val="006134C6"/>
    <w:rsid w:val="006178AA"/>
    <w:rsid w:val="00623529"/>
    <w:rsid w:val="006268F9"/>
    <w:rsid w:val="00627F54"/>
    <w:rsid w:val="00635DA9"/>
    <w:rsid w:val="00637865"/>
    <w:rsid w:val="006378A4"/>
    <w:rsid w:val="00641A6C"/>
    <w:rsid w:val="00644165"/>
    <w:rsid w:val="006741B7"/>
    <w:rsid w:val="0069454B"/>
    <w:rsid w:val="006A07D2"/>
    <w:rsid w:val="006A2A9F"/>
    <w:rsid w:val="006A7096"/>
    <w:rsid w:val="006B3EE5"/>
    <w:rsid w:val="006B4CDD"/>
    <w:rsid w:val="006C1C1D"/>
    <w:rsid w:val="006C6740"/>
    <w:rsid w:val="006C7B4C"/>
    <w:rsid w:val="006D268F"/>
    <w:rsid w:val="006D334D"/>
    <w:rsid w:val="006E09CF"/>
    <w:rsid w:val="006E3391"/>
    <w:rsid w:val="006E3CD0"/>
    <w:rsid w:val="006E6184"/>
    <w:rsid w:val="006F070B"/>
    <w:rsid w:val="00702414"/>
    <w:rsid w:val="00713EAF"/>
    <w:rsid w:val="00714B2C"/>
    <w:rsid w:val="00714CAD"/>
    <w:rsid w:val="00721DD7"/>
    <w:rsid w:val="00723A70"/>
    <w:rsid w:val="0072683E"/>
    <w:rsid w:val="00727454"/>
    <w:rsid w:val="00732120"/>
    <w:rsid w:val="00735204"/>
    <w:rsid w:val="00740B62"/>
    <w:rsid w:val="00743E53"/>
    <w:rsid w:val="00755A73"/>
    <w:rsid w:val="00755C96"/>
    <w:rsid w:val="007576C7"/>
    <w:rsid w:val="00760DF5"/>
    <w:rsid w:val="007641C3"/>
    <w:rsid w:val="0076478F"/>
    <w:rsid w:val="00780187"/>
    <w:rsid w:val="00791DA5"/>
    <w:rsid w:val="007A70D0"/>
    <w:rsid w:val="007C7DBE"/>
    <w:rsid w:val="007D2EE4"/>
    <w:rsid w:val="007E4B18"/>
    <w:rsid w:val="007E6730"/>
    <w:rsid w:val="007F1388"/>
    <w:rsid w:val="00802E44"/>
    <w:rsid w:val="00802F77"/>
    <w:rsid w:val="00813916"/>
    <w:rsid w:val="00817D09"/>
    <w:rsid w:val="008246F4"/>
    <w:rsid w:val="008261B1"/>
    <w:rsid w:val="0083065C"/>
    <w:rsid w:val="00833416"/>
    <w:rsid w:val="0083363A"/>
    <w:rsid w:val="00836FAF"/>
    <w:rsid w:val="00837B73"/>
    <w:rsid w:val="008441F0"/>
    <w:rsid w:val="008448FC"/>
    <w:rsid w:val="00844AA1"/>
    <w:rsid w:val="0085377A"/>
    <w:rsid w:val="00855A2C"/>
    <w:rsid w:val="00864404"/>
    <w:rsid w:val="00872307"/>
    <w:rsid w:val="00876312"/>
    <w:rsid w:val="00876795"/>
    <w:rsid w:val="00877A21"/>
    <w:rsid w:val="00887A65"/>
    <w:rsid w:val="008915F8"/>
    <w:rsid w:val="00893771"/>
    <w:rsid w:val="008A0E5C"/>
    <w:rsid w:val="008A5673"/>
    <w:rsid w:val="008A64C2"/>
    <w:rsid w:val="008B46BE"/>
    <w:rsid w:val="008B7726"/>
    <w:rsid w:val="008C6A81"/>
    <w:rsid w:val="008D3524"/>
    <w:rsid w:val="008D6C47"/>
    <w:rsid w:val="008E2E5F"/>
    <w:rsid w:val="008E445F"/>
    <w:rsid w:val="008F527C"/>
    <w:rsid w:val="008F63F9"/>
    <w:rsid w:val="008F63FC"/>
    <w:rsid w:val="009006D9"/>
    <w:rsid w:val="009038D0"/>
    <w:rsid w:val="0091290E"/>
    <w:rsid w:val="00912C88"/>
    <w:rsid w:val="0091463B"/>
    <w:rsid w:val="00914A48"/>
    <w:rsid w:val="00915C20"/>
    <w:rsid w:val="009203F0"/>
    <w:rsid w:val="00920CDA"/>
    <w:rsid w:val="00922AFC"/>
    <w:rsid w:val="00924CBE"/>
    <w:rsid w:val="00926708"/>
    <w:rsid w:val="0092725D"/>
    <w:rsid w:val="0093597C"/>
    <w:rsid w:val="00936284"/>
    <w:rsid w:val="009366B2"/>
    <w:rsid w:val="009427C2"/>
    <w:rsid w:val="00964AFF"/>
    <w:rsid w:val="00965371"/>
    <w:rsid w:val="009706EB"/>
    <w:rsid w:val="00971BE2"/>
    <w:rsid w:val="00984E4B"/>
    <w:rsid w:val="00985C74"/>
    <w:rsid w:val="00991B89"/>
    <w:rsid w:val="009940A4"/>
    <w:rsid w:val="009947D7"/>
    <w:rsid w:val="009959EC"/>
    <w:rsid w:val="00997F78"/>
    <w:rsid w:val="009A2292"/>
    <w:rsid w:val="009B22F6"/>
    <w:rsid w:val="009B34FE"/>
    <w:rsid w:val="009C0982"/>
    <w:rsid w:val="009C3484"/>
    <w:rsid w:val="009D533F"/>
    <w:rsid w:val="009E2301"/>
    <w:rsid w:val="009F0981"/>
    <w:rsid w:val="009F3E71"/>
    <w:rsid w:val="009F6D4D"/>
    <w:rsid w:val="00A0752D"/>
    <w:rsid w:val="00A133A8"/>
    <w:rsid w:val="00A21334"/>
    <w:rsid w:val="00A25694"/>
    <w:rsid w:val="00A36190"/>
    <w:rsid w:val="00A44F65"/>
    <w:rsid w:val="00A45245"/>
    <w:rsid w:val="00A45CDE"/>
    <w:rsid w:val="00A508AC"/>
    <w:rsid w:val="00A52B10"/>
    <w:rsid w:val="00A552A1"/>
    <w:rsid w:val="00A55BF5"/>
    <w:rsid w:val="00A635F0"/>
    <w:rsid w:val="00A67E24"/>
    <w:rsid w:val="00A740EC"/>
    <w:rsid w:val="00A754C0"/>
    <w:rsid w:val="00A90CC5"/>
    <w:rsid w:val="00A91D2F"/>
    <w:rsid w:val="00A95B83"/>
    <w:rsid w:val="00AA0650"/>
    <w:rsid w:val="00AA0C57"/>
    <w:rsid w:val="00AA1EF7"/>
    <w:rsid w:val="00AC0D70"/>
    <w:rsid w:val="00AC3D79"/>
    <w:rsid w:val="00AC5BA6"/>
    <w:rsid w:val="00AD2429"/>
    <w:rsid w:val="00AE30E8"/>
    <w:rsid w:val="00AE3516"/>
    <w:rsid w:val="00AF39E1"/>
    <w:rsid w:val="00AF5158"/>
    <w:rsid w:val="00AF6B18"/>
    <w:rsid w:val="00AF7185"/>
    <w:rsid w:val="00B022D1"/>
    <w:rsid w:val="00B10934"/>
    <w:rsid w:val="00B13EFC"/>
    <w:rsid w:val="00B14A36"/>
    <w:rsid w:val="00B21E21"/>
    <w:rsid w:val="00B256CE"/>
    <w:rsid w:val="00B26BC0"/>
    <w:rsid w:val="00B32003"/>
    <w:rsid w:val="00B34975"/>
    <w:rsid w:val="00B46830"/>
    <w:rsid w:val="00B4709F"/>
    <w:rsid w:val="00B53C72"/>
    <w:rsid w:val="00B5421D"/>
    <w:rsid w:val="00B5544E"/>
    <w:rsid w:val="00B6431F"/>
    <w:rsid w:val="00B74C9C"/>
    <w:rsid w:val="00B84AA5"/>
    <w:rsid w:val="00B92024"/>
    <w:rsid w:val="00B94AE9"/>
    <w:rsid w:val="00BA2268"/>
    <w:rsid w:val="00BA458F"/>
    <w:rsid w:val="00BA4FD0"/>
    <w:rsid w:val="00BB3750"/>
    <w:rsid w:val="00BB676D"/>
    <w:rsid w:val="00BC47AE"/>
    <w:rsid w:val="00BD0BAC"/>
    <w:rsid w:val="00BD4DE7"/>
    <w:rsid w:val="00BD6C75"/>
    <w:rsid w:val="00BE5A59"/>
    <w:rsid w:val="00BE690E"/>
    <w:rsid w:val="00BF1FF1"/>
    <w:rsid w:val="00BF52B3"/>
    <w:rsid w:val="00BF582D"/>
    <w:rsid w:val="00BF5DB3"/>
    <w:rsid w:val="00C01777"/>
    <w:rsid w:val="00C01F2E"/>
    <w:rsid w:val="00C070F6"/>
    <w:rsid w:val="00C1390D"/>
    <w:rsid w:val="00C151BF"/>
    <w:rsid w:val="00C17D0E"/>
    <w:rsid w:val="00C25D68"/>
    <w:rsid w:val="00C3288D"/>
    <w:rsid w:val="00C43D67"/>
    <w:rsid w:val="00C609AA"/>
    <w:rsid w:val="00C63A43"/>
    <w:rsid w:val="00C6537F"/>
    <w:rsid w:val="00C662D7"/>
    <w:rsid w:val="00C758FA"/>
    <w:rsid w:val="00C8744B"/>
    <w:rsid w:val="00C95DD0"/>
    <w:rsid w:val="00CA1EDC"/>
    <w:rsid w:val="00CA7C33"/>
    <w:rsid w:val="00CA7D73"/>
    <w:rsid w:val="00CB0157"/>
    <w:rsid w:val="00CB08EF"/>
    <w:rsid w:val="00CC36F1"/>
    <w:rsid w:val="00CD257B"/>
    <w:rsid w:val="00CD7D8B"/>
    <w:rsid w:val="00CF136E"/>
    <w:rsid w:val="00CF68C6"/>
    <w:rsid w:val="00D011CF"/>
    <w:rsid w:val="00D02DA2"/>
    <w:rsid w:val="00D25FB7"/>
    <w:rsid w:val="00D316A7"/>
    <w:rsid w:val="00D31D50"/>
    <w:rsid w:val="00D412D4"/>
    <w:rsid w:val="00D4330F"/>
    <w:rsid w:val="00D46AA6"/>
    <w:rsid w:val="00D532A2"/>
    <w:rsid w:val="00D5455F"/>
    <w:rsid w:val="00D553C4"/>
    <w:rsid w:val="00D5687D"/>
    <w:rsid w:val="00D65895"/>
    <w:rsid w:val="00D66855"/>
    <w:rsid w:val="00D67A6E"/>
    <w:rsid w:val="00D72CFE"/>
    <w:rsid w:val="00D8132C"/>
    <w:rsid w:val="00D8544F"/>
    <w:rsid w:val="00D860DA"/>
    <w:rsid w:val="00D87BA3"/>
    <w:rsid w:val="00DB417D"/>
    <w:rsid w:val="00DC076E"/>
    <w:rsid w:val="00DC3CF1"/>
    <w:rsid w:val="00DD086E"/>
    <w:rsid w:val="00DF0D80"/>
    <w:rsid w:val="00E2391D"/>
    <w:rsid w:val="00E27C2F"/>
    <w:rsid w:val="00E350A8"/>
    <w:rsid w:val="00E35EB3"/>
    <w:rsid w:val="00E44923"/>
    <w:rsid w:val="00E46369"/>
    <w:rsid w:val="00E4780D"/>
    <w:rsid w:val="00E47B13"/>
    <w:rsid w:val="00E47FFA"/>
    <w:rsid w:val="00E62731"/>
    <w:rsid w:val="00E7068B"/>
    <w:rsid w:val="00E73B77"/>
    <w:rsid w:val="00E80205"/>
    <w:rsid w:val="00E834AF"/>
    <w:rsid w:val="00E84F84"/>
    <w:rsid w:val="00E93776"/>
    <w:rsid w:val="00E954E3"/>
    <w:rsid w:val="00EA541A"/>
    <w:rsid w:val="00EA5426"/>
    <w:rsid w:val="00EA604B"/>
    <w:rsid w:val="00EA7C1F"/>
    <w:rsid w:val="00EB09B7"/>
    <w:rsid w:val="00EB2E84"/>
    <w:rsid w:val="00EB30B2"/>
    <w:rsid w:val="00EB5DC0"/>
    <w:rsid w:val="00EB6598"/>
    <w:rsid w:val="00EC62D6"/>
    <w:rsid w:val="00EC78C3"/>
    <w:rsid w:val="00ED4C80"/>
    <w:rsid w:val="00ED7B53"/>
    <w:rsid w:val="00EE4E1F"/>
    <w:rsid w:val="00EF77E3"/>
    <w:rsid w:val="00F040F3"/>
    <w:rsid w:val="00F07455"/>
    <w:rsid w:val="00F154C0"/>
    <w:rsid w:val="00F24614"/>
    <w:rsid w:val="00F2704B"/>
    <w:rsid w:val="00F32B16"/>
    <w:rsid w:val="00F37086"/>
    <w:rsid w:val="00F37E38"/>
    <w:rsid w:val="00F53F19"/>
    <w:rsid w:val="00F54045"/>
    <w:rsid w:val="00F544CB"/>
    <w:rsid w:val="00F63E66"/>
    <w:rsid w:val="00F80AD3"/>
    <w:rsid w:val="00F85AEE"/>
    <w:rsid w:val="00F95680"/>
    <w:rsid w:val="00F95831"/>
    <w:rsid w:val="00FA4624"/>
    <w:rsid w:val="00FA4EA5"/>
    <w:rsid w:val="00FA5731"/>
    <w:rsid w:val="00FB1EFA"/>
    <w:rsid w:val="00FB1FBB"/>
    <w:rsid w:val="00FB7BE0"/>
    <w:rsid w:val="00FB7C69"/>
    <w:rsid w:val="00FB7DF9"/>
    <w:rsid w:val="00FC4900"/>
    <w:rsid w:val="00FC4CE0"/>
    <w:rsid w:val="00FE365A"/>
    <w:rsid w:val="00FF04E4"/>
    <w:rsid w:val="00FF2A1C"/>
    <w:rsid w:val="00FF3682"/>
    <w:rsid w:val="01F52ACA"/>
    <w:rsid w:val="028817A1"/>
    <w:rsid w:val="03877800"/>
    <w:rsid w:val="04C0227A"/>
    <w:rsid w:val="050F16AF"/>
    <w:rsid w:val="058F4A4A"/>
    <w:rsid w:val="05F06B7A"/>
    <w:rsid w:val="062A3132"/>
    <w:rsid w:val="06A40DE9"/>
    <w:rsid w:val="06B40E1E"/>
    <w:rsid w:val="06DC6EB0"/>
    <w:rsid w:val="070C1160"/>
    <w:rsid w:val="080138FA"/>
    <w:rsid w:val="082108F1"/>
    <w:rsid w:val="08AA4FBD"/>
    <w:rsid w:val="08C700A5"/>
    <w:rsid w:val="092E5B43"/>
    <w:rsid w:val="09474CFA"/>
    <w:rsid w:val="097A1598"/>
    <w:rsid w:val="0AE66395"/>
    <w:rsid w:val="0B2C5F03"/>
    <w:rsid w:val="0BEF406A"/>
    <w:rsid w:val="0C00589E"/>
    <w:rsid w:val="0CB76005"/>
    <w:rsid w:val="0E0D3E12"/>
    <w:rsid w:val="0E746FC2"/>
    <w:rsid w:val="0EA94068"/>
    <w:rsid w:val="0EDF6BB4"/>
    <w:rsid w:val="0EF87C52"/>
    <w:rsid w:val="0F6B4A95"/>
    <w:rsid w:val="0FA7212E"/>
    <w:rsid w:val="1020312F"/>
    <w:rsid w:val="106D0AC4"/>
    <w:rsid w:val="13360D11"/>
    <w:rsid w:val="142F09D4"/>
    <w:rsid w:val="145C538A"/>
    <w:rsid w:val="14D17664"/>
    <w:rsid w:val="14EC5320"/>
    <w:rsid w:val="1576200F"/>
    <w:rsid w:val="15FD587B"/>
    <w:rsid w:val="16382F4E"/>
    <w:rsid w:val="167963FE"/>
    <w:rsid w:val="16FB4441"/>
    <w:rsid w:val="175271D7"/>
    <w:rsid w:val="17577449"/>
    <w:rsid w:val="17AB2CE2"/>
    <w:rsid w:val="187A1902"/>
    <w:rsid w:val="18843E3F"/>
    <w:rsid w:val="19464B2E"/>
    <w:rsid w:val="19E43E7C"/>
    <w:rsid w:val="1A2D6B40"/>
    <w:rsid w:val="1AEE44E0"/>
    <w:rsid w:val="1B475EBA"/>
    <w:rsid w:val="1BAC363C"/>
    <w:rsid w:val="1C5F5EA3"/>
    <w:rsid w:val="1D794E45"/>
    <w:rsid w:val="1D8742C9"/>
    <w:rsid w:val="2073070D"/>
    <w:rsid w:val="20EB1A8B"/>
    <w:rsid w:val="214F03B6"/>
    <w:rsid w:val="21BD5715"/>
    <w:rsid w:val="21C13A9E"/>
    <w:rsid w:val="22D71C60"/>
    <w:rsid w:val="23B81BFC"/>
    <w:rsid w:val="23B87D45"/>
    <w:rsid w:val="23CE650A"/>
    <w:rsid w:val="250440BC"/>
    <w:rsid w:val="255035DF"/>
    <w:rsid w:val="25B22185"/>
    <w:rsid w:val="25C96E0D"/>
    <w:rsid w:val="26AF7565"/>
    <w:rsid w:val="27BB49CC"/>
    <w:rsid w:val="280965BF"/>
    <w:rsid w:val="28CF1C92"/>
    <w:rsid w:val="28D56F0D"/>
    <w:rsid w:val="28E40756"/>
    <w:rsid w:val="29292ACE"/>
    <w:rsid w:val="29CB7263"/>
    <w:rsid w:val="29D15A31"/>
    <w:rsid w:val="29DC45D9"/>
    <w:rsid w:val="2BA106C8"/>
    <w:rsid w:val="2CCF32B2"/>
    <w:rsid w:val="2D624D64"/>
    <w:rsid w:val="2DDA53FB"/>
    <w:rsid w:val="2F493C70"/>
    <w:rsid w:val="2FE80711"/>
    <w:rsid w:val="3056666B"/>
    <w:rsid w:val="305D20B8"/>
    <w:rsid w:val="31E73E0A"/>
    <w:rsid w:val="3283548A"/>
    <w:rsid w:val="33D426F5"/>
    <w:rsid w:val="341A51A3"/>
    <w:rsid w:val="342351BC"/>
    <w:rsid w:val="353661A2"/>
    <w:rsid w:val="3660307A"/>
    <w:rsid w:val="36C305A2"/>
    <w:rsid w:val="37CA2F18"/>
    <w:rsid w:val="38382662"/>
    <w:rsid w:val="389A69EB"/>
    <w:rsid w:val="38F92413"/>
    <w:rsid w:val="3932495F"/>
    <w:rsid w:val="39AC66F4"/>
    <w:rsid w:val="3B450746"/>
    <w:rsid w:val="3B70538B"/>
    <w:rsid w:val="3B8B45DE"/>
    <w:rsid w:val="3CE039F9"/>
    <w:rsid w:val="3D7E73A2"/>
    <w:rsid w:val="3EDB5B90"/>
    <w:rsid w:val="3F2B4609"/>
    <w:rsid w:val="3F45639D"/>
    <w:rsid w:val="41CD4EF8"/>
    <w:rsid w:val="42F16958"/>
    <w:rsid w:val="43910D89"/>
    <w:rsid w:val="44005116"/>
    <w:rsid w:val="449A3135"/>
    <w:rsid w:val="449C7A28"/>
    <w:rsid w:val="449E6811"/>
    <w:rsid w:val="451E3F5A"/>
    <w:rsid w:val="45410255"/>
    <w:rsid w:val="46834862"/>
    <w:rsid w:val="46FB2771"/>
    <w:rsid w:val="47496025"/>
    <w:rsid w:val="47C32283"/>
    <w:rsid w:val="47CA333A"/>
    <w:rsid w:val="48320829"/>
    <w:rsid w:val="49206389"/>
    <w:rsid w:val="49206F8C"/>
    <w:rsid w:val="49623771"/>
    <w:rsid w:val="4DF30682"/>
    <w:rsid w:val="4F440CC1"/>
    <w:rsid w:val="4FED2A03"/>
    <w:rsid w:val="50D65987"/>
    <w:rsid w:val="52C553E8"/>
    <w:rsid w:val="52EA5511"/>
    <w:rsid w:val="536746F2"/>
    <w:rsid w:val="53BF0B15"/>
    <w:rsid w:val="542F3AD8"/>
    <w:rsid w:val="554E38E7"/>
    <w:rsid w:val="56903063"/>
    <w:rsid w:val="56F54129"/>
    <w:rsid w:val="571A7928"/>
    <w:rsid w:val="57C12138"/>
    <w:rsid w:val="587A1377"/>
    <w:rsid w:val="58821711"/>
    <w:rsid w:val="588946EC"/>
    <w:rsid w:val="58B8609F"/>
    <w:rsid w:val="58C9309A"/>
    <w:rsid w:val="59503FE7"/>
    <w:rsid w:val="59E13E90"/>
    <w:rsid w:val="5A00456A"/>
    <w:rsid w:val="5A3F7E1A"/>
    <w:rsid w:val="5A5133FF"/>
    <w:rsid w:val="5AEE580C"/>
    <w:rsid w:val="5B9B208E"/>
    <w:rsid w:val="5BBF278A"/>
    <w:rsid w:val="5C720E3A"/>
    <w:rsid w:val="5D734A44"/>
    <w:rsid w:val="5E560D2E"/>
    <w:rsid w:val="5F6C5B2E"/>
    <w:rsid w:val="605F4C26"/>
    <w:rsid w:val="60F16425"/>
    <w:rsid w:val="61091151"/>
    <w:rsid w:val="612721ED"/>
    <w:rsid w:val="61361787"/>
    <w:rsid w:val="61931AFF"/>
    <w:rsid w:val="61CE3AA2"/>
    <w:rsid w:val="61DB3B1D"/>
    <w:rsid w:val="62155816"/>
    <w:rsid w:val="630B0C35"/>
    <w:rsid w:val="642460B6"/>
    <w:rsid w:val="6504319D"/>
    <w:rsid w:val="67581432"/>
    <w:rsid w:val="676F59BF"/>
    <w:rsid w:val="67F91818"/>
    <w:rsid w:val="68161DAD"/>
    <w:rsid w:val="684D1363"/>
    <w:rsid w:val="6A977CBC"/>
    <w:rsid w:val="6AB13EA0"/>
    <w:rsid w:val="6B7C7ABB"/>
    <w:rsid w:val="6C171F0F"/>
    <w:rsid w:val="6C2F14F5"/>
    <w:rsid w:val="6C3D2AD8"/>
    <w:rsid w:val="6C7D18EF"/>
    <w:rsid w:val="6CD2326A"/>
    <w:rsid w:val="6F752E8E"/>
    <w:rsid w:val="70710506"/>
    <w:rsid w:val="709A7575"/>
    <w:rsid w:val="71ED62B3"/>
    <w:rsid w:val="71F333E1"/>
    <w:rsid w:val="72220D36"/>
    <w:rsid w:val="722E18C0"/>
    <w:rsid w:val="72576098"/>
    <w:rsid w:val="727B2DD0"/>
    <w:rsid w:val="72B9146A"/>
    <w:rsid w:val="737D62DD"/>
    <w:rsid w:val="755437AE"/>
    <w:rsid w:val="763937AD"/>
    <w:rsid w:val="7749295C"/>
    <w:rsid w:val="79550EFA"/>
    <w:rsid w:val="7BE14C47"/>
    <w:rsid w:val="7C5B2412"/>
    <w:rsid w:val="7C9B4E5A"/>
    <w:rsid w:val="7D5052A6"/>
    <w:rsid w:val="7D543E9B"/>
    <w:rsid w:val="7DAC414D"/>
    <w:rsid w:val="7E094583"/>
    <w:rsid w:val="7E1016F9"/>
    <w:rsid w:val="7E753073"/>
    <w:rsid w:val="7EA2332E"/>
    <w:rsid w:val="7EDD1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1D"/>
    <w:pPr>
      <w:adjustRightInd w:val="0"/>
      <w:snapToGrid w:val="0"/>
      <w:spacing w:after="200"/>
    </w:pPr>
    <w:rPr>
      <w:rFonts w:ascii="Tahoma" w:eastAsia="微软雅黑" w:hAnsi="Tahoma" w:cs="黑体"/>
      <w:sz w:val="22"/>
      <w:szCs w:val="22"/>
    </w:rPr>
  </w:style>
  <w:style w:type="paragraph" w:styleId="1">
    <w:name w:val="heading 1"/>
    <w:basedOn w:val="a"/>
    <w:next w:val="a"/>
    <w:link w:val="1Char"/>
    <w:uiPriority w:val="9"/>
    <w:qFormat/>
    <w:rsid w:val="00B5421D"/>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B5421D"/>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B5421D"/>
    <w:pPr>
      <w:adjustRightInd/>
      <w:snapToGrid/>
      <w:spacing w:before="100" w:beforeAutospacing="1" w:after="100" w:afterAutospacing="1"/>
    </w:pPr>
    <w:rPr>
      <w:rFonts w:ascii="宋体" w:eastAsia="宋体" w:hAnsi="宋体" w:cs="宋体"/>
      <w:sz w:val="24"/>
      <w:szCs w:val="24"/>
    </w:rPr>
  </w:style>
  <w:style w:type="paragraph" w:styleId="a4">
    <w:name w:val="Plain Text"/>
    <w:basedOn w:val="a"/>
    <w:link w:val="Char0"/>
    <w:uiPriority w:val="99"/>
    <w:unhideWhenUsed/>
    <w:qFormat/>
    <w:rsid w:val="00B5421D"/>
    <w:pPr>
      <w:adjustRightInd/>
      <w:snapToGrid/>
      <w:spacing w:before="100" w:beforeAutospacing="1" w:after="100" w:afterAutospacing="1"/>
    </w:pPr>
    <w:rPr>
      <w:rFonts w:ascii="宋体" w:eastAsia="宋体" w:hAnsi="宋体" w:cs="宋体"/>
      <w:sz w:val="24"/>
      <w:szCs w:val="24"/>
    </w:rPr>
  </w:style>
  <w:style w:type="paragraph" w:styleId="20">
    <w:name w:val="Body Text Indent 2"/>
    <w:basedOn w:val="a"/>
    <w:link w:val="2Char0"/>
    <w:uiPriority w:val="99"/>
    <w:unhideWhenUsed/>
    <w:qFormat/>
    <w:rsid w:val="00B5421D"/>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1"/>
    <w:uiPriority w:val="99"/>
    <w:semiHidden/>
    <w:unhideWhenUsed/>
    <w:qFormat/>
    <w:rsid w:val="00B5421D"/>
    <w:pPr>
      <w:spacing w:after="0"/>
    </w:pPr>
    <w:rPr>
      <w:sz w:val="18"/>
      <w:szCs w:val="18"/>
    </w:rPr>
  </w:style>
  <w:style w:type="paragraph" w:styleId="a6">
    <w:name w:val="footer"/>
    <w:basedOn w:val="a"/>
    <w:link w:val="Char2"/>
    <w:uiPriority w:val="99"/>
    <w:unhideWhenUsed/>
    <w:qFormat/>
    <w:rsid w:val="00B5421D"/>
    <w:pPr>
      <w:tabs>
        <w:tab w:val="center" w:pos="4153"/>
        <w:tab w:val="right" w:pos="8306"/>
      </w:tabs>
    </w:pPr>
    <w:rPr>
      <w:sz w:val="18"/>
      <w:szCs w:val="18"/>
    </w:rPr>
  </w:style>
  <w:style w:type="paragraph" w:styleId="a7">
    <w:name w:val="header"/>
    <w:basedOn w:val="a"/>
    <w:link w:val="Char3"/>
    <w:uiPriority w:val="99"/>
    <w:unhideWhenUsed/>
    <w:qFormat/>
    <w:rsid w:val="00B5421D"/>
    <w:pPr>
      <w:pBdr>
        <w:bottom w:val="single" w:sz="6" w:space="1" w:color="auto"/>
      </w:pBdr>
      <w:tabs>
        <w:tab w:val="center" w:pos="4153"/>
        <w:tab w:val="right" w:pos="8306"/>
      </w:tabs>
      <w:jc w:val="center"/>
    </w:pPr>
    <w:rPr>
      <w:sz w:val="18"/>
      <w:szCs w:val="18"/>
    </w:rPr>
  </w:style>
  <w:style w:type="paragraph" w:styleId="a8">
    <w:name w:val="Normal (Web)"/>
    <w:basedOn w:val="a"/>
    <w:uiPriority w:val="99"/>
    <w:unhideWhenUsed/>
    <w:qFormat/>
    <w:rsid w:val="00B5421D"/>
    <w:pPr>
      <w:adjustRightInd/>
      <w:snapToGrid/>
      <w:spacing w:before="100" w:beforeAutospacing="1" w:after="100" w:afterAutospacing="1"/>
    </w:pPr>
    <w:rPr>
      <w:rFonts w:ascii="宋体" w:eastAsia="宋体" w:hAnsi="宋体" w:cs="宋体"/>
      <w:sz w:val="24"/>
      <w:szCs w:val="24"/>
    </w:rPr>
  </w:style>
  <w:style w:type="character" w:styleId="a9">
    <w:name w:val="Strong"/>
    <w:basedOn w:val="a0"/>
    <w:uiPriority w:val="22"/>
    <w:qFormat/>
    <w:rsid w:val="00B5421D"/>
    <w:rPr>
      <w:b/>
      <w:bCs/>
    </w:rPr>
  </w:style>
  <w:style w:type="character" w:customStyle="1" w:styleId="1Char">
    <w:name w:val="标题 1 Char"/>
    <w:basedOn w:val="a0"/>
    <w:link w:val="1"/>
    <w:uiPriority w:val="9"/>
    <w:qFormat/>
    <w:rsid w:val="00B5421D"/>
    <w:rPr>
      <w:rFonts w:ascii="宋体" w:eastAsia="宋体" w:hAnsi="宋体" w:cs="宋体"/>
      <w:b/>
      <w:bCs/>
      <w:kern w:val="36"/>
      <w:sz w:val="48"/>
      <w:szCs w:val="48"/>
    </w:rPr>
  </w:style>
  <w:style w:type="character" w:customStyle="1" w:styleId="2Char">
    <w:name w:val="标题 2 Char"/>
    <w:basedOn w:val="a0"/>
    <w:link w:val="2"/>
    <w:uiPriority w:val="9"/>
    <w:qFormat/>
    <w:rsid w:val="00B5421D"/>
    <w:rPr>
      <w:rFonts w:ascii="Cambria" w:eastAsia="宋体" w:hAnsi="Cambria" w:cs="黑体"/>
      <w:b/>
      <w:bCs/>
      <w:sz w:val="32"/>
      <w:szCs w:val="32"/>
    </w:rPr>
  </w:style>
  <w:style w:type="character" w:customStyle="1" w:styleId="2Char0">
    <w:name w:val="正文文本缩进 2 Char"/>
    <w:basedOn w:val="a0"/>
    <w:link w:val="20"/>
    <w:uiPriority w:val="99"/>
    <w:semiHidden/>
    <w:qFormat/>
    <w:rsid w:val="00B5421D"/>
    <w:rPr>
      <w:rFonts w:ascii="宋体" w:eastAsia="宋体" w:hAnsi="宋体" w:cs="宋体"/>
      <w:sz w:val="24"/>
      <w:szCs w:val="24"/>
    </w:rPr>
  </w:style>
  <w:style w:type="character" w:customStyle="1" w:styleId="Char">
    <w:name w:val="正文文本缩进 Char"/>
    <w:basedOn w:val="a0"/>
    <w:link w:val="a3"/>
    <w:uiPriority w:val="99"/>
    <w:semiHidden/>
    <w:qFormat/>
    <w:rsid w:val="00B5421D"/>
    <w:rPr>
      <w:rFonts w:ascii="宋体" w:eastAsia="宋体" w:hAnsi="宋体" w:cs="宋体"/>
      <w:sz w:val="24"/>
      <w:szCs w:val="24"/>
    </w:rPr>
  </w:style>
  <w:style w:type="character" w:customStyle="1" w:styleId="Char0">
    <w:name w:val="纯文本 Char"/>
    <w:basedOn w:val="a0"/>
    <w:link w:val="a4"/>
    <w:uiPriority w:val="99"/>
    <w:qFormat/>
    <w:rsid w:val="00B5421D"/>
    <w:rPr>
      <w:rFonts w:ascii="宋体" w:eastAsia="宋体" w:hAnsi="宋体" w:cs="宋体"/>
      <w:sz w:val="24"/>
      <w:szCs w:val="24"/>
    </w:rPr>
  </w:style>
  <w:style w:type="character" w:customStyle="1" w:styleId="apple-converted-space">
    <w:name w:val="apple-converted-space"/>
    <w:basedOn w:val="a0"/>
    <w:qFormat/>
    <w:rsid w:val="00B5421D"/>
  </w:style>
  <w:style w:type="character" w:customStyle="1" w:styleId="Char3">
    <w:name w:val="页眉 Char"/>
    <w:basedOn w:val="a0"/>
    <w:link w:val="a7"/>
    <w:uiPriority w:val="99"/>
    <w:semiHidden/>
    <w:qFormat/>
    <w:rsid w:val="00B5421D"/>
    <w:rPr>
      <w:rFonts w:ascii="Tahoma" w:hAnsi="Tahoma"/>
      <w:sz w:val="18"/>
      <w:szCs w:val="18"/>
    </w:rPr>
  </w:style>
  <w:style w:type="character" w:customStyle="1" w:styleId="Char2">
    <w:name w:val="页脚 Char"/>
    <w:basedOn w:val="a0"/>
    <w:link w:val="a6"/>
    <w:uiPriority w:val="99"/>
    <w:qFormat/>
    <w:rsid w:val="00B5421D"/>
    <w:rPr>
      <w:rFonts w:ascii="Tahoma" w:hAnsi="Tahoma"/>
      <w:sz w:val="18"/>
      <w:szCs w:val="18"/>
    </w:rPr>
  </w:style>
  <w:style w:type="character" w:customStyle="1" w:styleId="Char1">
    <w:name w:val="批注框文本 Char"/>
    <w:basedOn w:val="a0"/>
    <w:link w:val="a5"/>
    <w:uiPriority w:val="99"/>
    <w:semiHidden/>
    <w:qFormat/>
    <w:rsid w:val="00B5421D"/>
    <w:rPr>
      <w:rFonts w:ascii="Tahoma" w:hAnsi="Tahoma" w:cs="黑体"/>
      <w:sz w:val="18"/>
      <w:szCs w:val="18"/>
    </w:rPr>
  </w:style>
  <w:style w:type="table" w:styleId="aa">
    <w:name w:val="Table Grid"/>
    <w:basedOn w:val="a1"/>
    <w:uiPriority w:val="59"/>
    <w:rsid w:val="00BF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335225">
      <w:bodyDiv w:val="1"/>
      <w:marLeft w:val="0"/>
      <w:marRight w:val="0"/>
      <w:marTop w:val="0"/>
      <w:marBottom w:val="0"/>
      <w:divBdr>
        <w:top w:val="none" w:sz="0" w:space="0" w:color="auto"/>
        <w:left w:val="none" w:sz="0" w:space="0" w:color="auto"/>
        <w:bottom w:val="none" w:sz="0" w:space="0" w:color="auto"/>
        <w:right w:val="none" w:sz="0" w:space="0" w:color="auto"/>
      </w:divBdr>
    </w:div>
    <w:div w:id="399910055">
      <w:bodyDiv w:val="1"/>
      <w:marLeft w:val="0"/>
      <w:marRight w:val="0"/>
      <w:marTop w:val="0"/>
      <w:marBottom w:val="0"/>
      <w:divBdr>
        <w:top w:val="none" w:sz="0" w:space="0" w:color="auto"/>
        <w:left w:val="none" w:sz="0" w:space="0" w:color="auto"/>
        <w:bottom w:val="none" w:sz="0" w:space="0" w:color="auto"/>
        <w:right w:val="none" w:sz="0" w:space="0" w:color="auto"/>
      </w:divBdr>
    </w:div>
    <w:div w:id="897864521">
      <w:bodyDiv w:val="1"/>
      <w:marLeft w:val="0"/>
      <w:marRight w:val="0"/>
      <w:marTop w:val="0"/>
      <w:marBottom w:val="0"/>
      <w:divBdr>
        <w:top w:val="none" w:sz="0" w:space="0" w:color="auto"/>
        <w:left w:val="none" w:sz="0" w:space="0" w:color="auto"/>
        <w:bottom w:val="none" w:sz="0" w:space="0" w:color="auto"/>
        <w:right w:val="none" w:sz="0" w:space="0" w:color="auto"/>
      </w:divBdr>
    </w:div>
    <w:div w:id="1229420955">
      <w:bodyDiv w:val="1"/>
      <w:marLeft w:val="0"/>
      <w:marRight w:val="0"/>
      <w:marTop w:val="0"/>
      <w:marBottom w:val="0"/>
      <w:divBdr>
        <w:top w:val="none" w:sz="0" w:space="0" w:color="auto"/>
        <w:left w:val="none" w:sz="0" w:space="0" w:color="auto"/>
        <w:bottom w:val="none" w:sz="0" w:space="0" w:color="auto"/>
        <w:right w:val="none" w:sz="0" w:space="0" w:color="auto"/>
      </w:divBdr>
    </w:div>
    <w:div w:id="1230386032">
      <w:bodyDiv w:val="1"/>
      <w:marLeft w:val="0"/>
      <w:marRight w:val="0"/>
      <w:marTop w:val="0"/>
      <w:marBottom w:val="0"/>
      <w:divBdr>
        <w:top w:val="none" w:sz="0" w:space="0" w:color="auto"/>
        <w:left w:val="none" w:sz="0" w:space="0" w:color="auto"/>
        <w:bottom w:val="none" w:sz="0" w:space="0" w:color="auto"/>
        <w:right w:val="none" w:sz="0" w:space="0" w:color="auto"/>
      </w:divBdr>
    </w:div>
    <w:div w:id="1857377925">
      <w:bodyDiv w:val="1"/>
      <w:marLeft w:val="0"/>
      <w:marRight w:val="0"/>
      <w:marTop w:val="0"/>
      <w:marBottom w:val="0"/>
      <w:divBdr>
        <w:top w:val="none" w:sz="0" w:space="0" w:color="auto"/>
        <w:left w:val="none" w:sz="0" w:space="0" w:color="auto"/>
        <w:bottom w:val="none" w:sz="0" w:space="0" w:color="auto"/>
        <w:right w:val="none" w:sz="0" w:space="0" w:color="auto"/>
      </w:divBdr>
    </w:div>
    <w:div w:id="1892226152">
      <w:bodyDiv w:val="1"/>
      <w:marLeft w:val="0"/>
      <w:marRight w:val="0"/>
      <w:marTop w:val="0"/>
      <w:marBottom w:val="0"/>
      <w:divBdr>
        <w:top w:val="none" w:sz="0" w:space="0" w:color="auto"/>
        <w:left w:val="none" w:sz="0" w:space="0" w:color="auto"/>
        <w:bottom w:val="none" w:sz="0" w:space="0" w:color="auto"/>
        <w:right w:val="none" w:sz="0" w:space="0" w:color="auto"/>
      </w:divBdr>
    </w:div>
    <w:div w:id="2064717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34</Pages>
  <Words>2702</Words>
  <Characters>15405</Characters>
  <Application>Microsoft Office Word</Application>
  <DocSecurity>0</DocSecurity>
  <Lines>128</Lines>
  <Paragraphs>36</Paragraphs>
  <ScaleCrop>false</ScaleCrop>
  <Company>微软中国</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临猗新田村镇银行股份有限公司</dc:title>
  <dc:creator>Lenovo</dc:creator>
  <cp:lastModifiedBy>微软用户</cp:lastModifiedBy>
  <cp:revision>409</cp:revision>
  <cp:lastPrinted>2024-05-07T01:52:00Z</cp:lastPrinted>
  <dcterms:created xsi:type="dcterms:W3CDTF">2008-09-11T17:20:00Z</dcterms:created>
  <dcterms:modified xsi:type="dcterms:W3CDTF">2025-06-06T02:38:00Z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B8C4A54255C9479391F24851A9701773_13</vt:lpwstr>
  </property>
  <property fmtid="{D5CDD505-2E9C-101B-9397-08002B2CF9AE}" pid="4" name="KSOTemplateDocerSaveRecord">
    <vt:lpwstr>eyJoZGlkIjoiNzBiMGM3MTZmYjgzYjM4ZTM4MjYwOTA0MDIwN2FlZGUiLCJ1c2VySWQiOiIxNTg5NzAyOTA1In0=</vt:lpwstr>
  </property>
</Properties>
</file>