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1C" w:rsidRDefault="00236B06">
      <w:pPr>
        <w:pStyle w:val="a7"/>
        <w:spacing w:before="0" w:beforeAutospacing="0" w:after="0" w:afterAutospacing="0" w:line="600" w:lineRule="exact"/>
        <w:ind w:firstLineChars="200" w:firstLine="723"/>
        <w:jc w:val="center"/>
        <w:rPr>
          <w:rFonts w:ascii="微软雅黑" w:eastAsia="微软雅黑" w:hAnsi="微软雅黑"/>
          <w:color w:val="404040"/>
          <w:sz w:val="15"/>
          <w:szCs w:val="15"/>
        </w:rPr>
      </w:pPr>
      <w:r>
        <w:rPr>
          <w:rStyle w:val="a8"/>
          <w:rFonts w:cs="Times New Roman" w:hint="eastAsia"/>
          <w:color w:val="000000"/>
          <w:sz w:val="36"/>
          <w:szCs w:val="36"/>
        </w:rPr>
        <w:t>临猗县新田村镇银行股份有限公司</w:t>
      </w:r>
    </w:p>
    <w:p w:rsidR="00FF2A1C" w:rsidRDefault="00236B06">
      <w:pPr>
        <w:pStyle w:val="a7"/>
        <w:spacing w:before="0" w:beforeAutospacing="0" w:after="0" w:afterAutospacing="0" w:line="600" w:lineRule="exact"/>
        <w:ind w:firstLineChars="200" w:firstLine="723"/>
        <w:jc w:val="center"/>
        <w:rPr>
          <w:rFonts w:ascii="微软雅黑" w:eastAsia="微软雅黑" w:hAnsi="微软雅黑"/>
          <w:color w:val="404040"/>
          <w:sz w:val="15"/>
          <w:szCs w:val="15"/>
        </w:rPr>
      </w:pPr>
      <w:r>
        <w:rPr>
          <w:rStyle w:val="a8"/>
          <w:rFonts w:cs="Times New Roman" w:hint="eastAsia"/>
          <w:color w:val="000000"/>
          <w:sz w:val="36"/>
          <w:szCs w:val="36"/>
        </w:rPr>
        <w:t>2021年度信息披露报告</w:t>
      </w:r>
    </w:p>
    <w:p w:rsidR="00FF2A1C" w:rsidRDefault="00236B06">
      <w:pPr>
        <w:pStyle w:val="a7"/>
        <w:spacing w:before="0" w:beforeAutospacing="0" w:after="0" w:afterAutospacing="0" w:line="600" w:lineRule="exact"/>
        <w:ind w:firstLineChars="200" w:firstLine="300"/>
        <w:jc w:val="center"/>
        <w:rPr>
          <w:rFonts w:ascii="微软雅黑" w:eastAsia="微软雅黑" w:hAnsi="微软雅黑"/>
          <w:color w:val="404040"/>
          <w:sz w:val="15"/>
          <w:szCs w:val="15"/>
        </w:rPr>
      </w:pPr>
      <w:r>
        <w:rPr>
          <w:rFonts w:ascii="微软雅黑" w:eastAsia="微软雅黑" w:hAnsi="微软雅黑" w:hint="eastAsia"/>
          <w:color w:val="404040"/>
          <w:sz w:val="15"/>
          <w:szCs w:val="15"/>
        </w:rPr>
        <w:t> </w:t>
      </w:r>
    </w:p>
    <w:p w:rsidR="00FF2A1C" w:rsidRDefault="00236B06">
      <w:pPr>
        <w:pStyle w:val="a7"/>
        <w:spacing w:before="0" w:beforeAutospacing="0" w:after="0" w:afterAutospacing="0" w:line="600" w:lineRule="exact"/>
        <w:ind w:firstLineChars="200" w:firstLine="300"/>
        <w:jc w:val="center"/>
        <w:rPr>
          <w:rFonts w:ascii="微软雅黑" w:eastAsia="微软雅黑" w:hAnsi="微软雅黑"/>
          <w:color w:val="404040"/>
          <w:sz w:val="15"/>
          <w:szCs w:val="15"/>
        </w:rPr>
      </w:pPr>
      <w:r>
        <w:rPr>
          <w:rFonts w:ascii="微软雅黑" w:eastAsia="微软雅黑" w:hAnsi="微软雅黑" w:hint="eastAsia"/>
          <w:color w:val="404040"/>
          <w:sz w:val="15"/>
          <w:szCs w:val="15"/>
        </w:rPr>
        <w:t> </w:t>
      </w:r>
    </w:p>
    <w:p w:rsidR="00FF2A1C" w:rsidRDefault="00236B06">
      <w:pPr>
        <w:pStyle w:val="a7"/>
        <w:spacing w:before="0" w:beforeAutospacing="0" w:after="0" w:afterAutospacing="0" w:line="600" w:lineRule="exact"/>
        <w:ind w:firstLineChars="200" w:firstLine="602"/>
        <w:jc w:val="center"/>
        <w:rPr>
          <w:rFonts w:ascii="微软雅黑" w:eastAsia="微软雅黑" w:hAnsi="微软雅黑"/>
          <w:color w:val="404040"/>
          <w:sz w:val="15"/>
          <w:szCs w:val="15"/>
        </w:rPr>
      </w:pPr>
      <w:r>
        <w:rPr>
          <w:rStyle w:val="a8"/>
          <w:rFonts w:cs="Times New Roman" w:hint="eastAsia"/>
          <w:color w:val="000000"/>
          <w:sz w:val="30"/>
          <w:szCs w:val="30"/>
        </w:rPr>
        <w:t>重要提示</w:t>
      </w:r>
    </w:p>
    <w:p w:rsidR="00FF2A1C" w:rsidRDefault="00236B06">
      <w:pPr>
        <w:pStyle w:val="a7"/>
        <w:spacing w:before="0" w:beforeAutospacing="0" w:after="0" w:afterAutospacing="0" w:line="600" w:lineRule="exact"/>
        <w:ind w:firstLineChars="200" w:firstLine="600"/>
        <w:jc w:val="center"/>
        <w:rPr>
          <w:rFonts w:ascii="仿宋" w:eastAsia="仿宋" w:hAnsi="仿宋"/>
          <w:color w:val="404040"/>
          <w:sz w:val="30"/>
          <w:szCs w:val="30"/>
        </w:rPr>
      </w:pPr>
      <w:r>
        <w:rPr>
          <w:rFonts w:ascii="仿宋" w:eastAsia="仿宋" w:hAnsi="微软雅黑" w:hint="eastAsia"/>
          <w:color w:val="404040"/>
          <w:sz w:val="30"/>
          <w:szCs w:val="30"/>
        </w:rPr>
        <w:t> </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本行董事会、监事会及董事、监事、高级管理人员保证本报告所载资料不存在任何虚假记载、误导性陈述或者重大遗漏，并对其内容的真实性、准确性和完整性承担个别及连带责任。</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本行2021年度财务报告已经由山西运城信达会计事务所有限公司根据国内审计准则审计，并出具了标准无保留意见的审计报告。</w:t>
      </w:r>
    </w:p>
    <w:p w:rsidR="00FF2A1C" w:rsidRDefault="00236B06">
      <w:pPr>
        <w:pStyle w:val="a7"/>
        <w:spacing w:before="0" w:beforeAutospacing="0" w:after="0" w:afterAutospacing="0" w:line="600" w:lineRule="exact"/>
        <w:ind w:firstLineChars="200" w:firstLine="60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本行董事长范晓云、行长贾孟辉保证年度报告中财务报告的真实、完整。</w:t>
      </w:r>
    </w:p>
    <w:p w:rsidR="00FF2A1C" w:rsidRDefault="00FF2A1C">
      <w:pPr>
        <w:pStyle w:val="a7"/>
        <w:spacing w:before="0" w:beforeAutospacing="0" w:after="0" w:afterAutospacing="0" w:line="600" w:lineRule="exact"/>
        <w:ind w:firstLineChars="200" w:firstLine="600"/>
        <w:jc w:val="both"/>
        <w:rPr>
          <w:rFonts w:ascii="仿宋" w:eastAsia="仿宋" w:hAnsi="仿宋" w:cs="Times New Roman"/>
          <w:color w:val="000000"/>
          <w:sz w:val="30"/>
          <w:szCs w:val="30"/>
        </w:rPr>
      </w:pPr>
    </w:p>
    <w:p w:rsidR="00FF2A1C" w:rsidRDefault="00236B06">
      <w:pPr>
        <w:adjustRightInd/>
        <w:snapToGrid/>
        <w:spacing w:after="0" w:line="600" w:lineRule="exact"/>
        <w:ind w:firstLineChars="200" w:firstLine="602"/>
        <w:jc w:val="center"/>
        <w:outlineLvl w:val="0"/>
        <w:rPr>
          <w:rFonts w:ascii="仿宋" w:eastAsia="仿宋" w:hAnsi="仿宋" w:cs="宋体"/>
          <w:b/>
          <w:bCs/>
          <w:color w:val="404040"/>
          <w:kern w:val="36"/>
          <w:sz w:val="30"/>
          <w:szCs w:val="30"/>
        </w:rPr>
      </w:pPr>
      <w:bookmarkStart w:id="0" w:name="_Toc481079990"/>
      <w:r>
        <w:rPr>
          <w:rFonts w:ascii="仿宋" w:eastAsia="仿宋" w:hAnsi="仿宋" w:cs="宋体" w:hint="eastAsia"/>
          <w:b/>
          <w:bCs/>
          <w:color w:val="000000"/>
          <w:kern w:val="36"/>
          <w:sz w:val="30"/>
          <w:szCs w:val="30"/>
        </w:rPr>
        <w:t>第一章　本行概况</w:t>
      </w:r>
      <w:bookmarkEnd w:id="0"/>
    </w:p>
    <w:p w:rsidR="00FF2A1C" w:rsidRDefault="00236B06">
      <w:pPr>
        <w:adjustRightInd/>
        <w:snapToGrid/>
        <w:spacing w:after="0" w:line="600" w:lineRule="exact"/>
        <w:ind w:firstLineChars="200" w:firstLine="600"/>
        <w:jc w:val="both"/>
        <w:rPr>
          <w:rFonts w:ascii="仿宋" w:eastAsia="仿宋" w:hAnsi="仿宋" w:cs="宋体"/>
          <w:color w:val="404040"/>
          <w:sz w:val="30"/>
          <w:szCs w:val="30"/>
        </w:rPr>
      </w:pPr>
      <w:r>
        <w:rPr>
          <w:rFonts w:ascii="仿宋" w:eastAsia="仿宋" w:hAnsi="微软雅黑" w:cs="宋体" w:hint="eastAsia"/>
          <w:color w:val="404040"/>
          <w:sz w:val="30"/>
          <w:szCs w:val="30"/>
        </w:rPr>
        <w:t> </w:t>
      </w:r>
    </w:p>
    <w:p w:rsidR="00FF2A1C" w:rsidRDefault="00236B06">
      <w:pPr>
        <w:adjustRightInd/>
        <w:snapToGrid/>
        <w:spacing w:after="0" w:line="600" w:lineRule="exact"/>
        <w:ind w:firstLineChars="200" w:firstLine="602"/>
        <w:jc w:val="both"/>
        <w:rPr>
          <w:rFonts w:ascii="仿宋" w:eastAsia="仿宋" w:hAnsi="仿宋" w:cs="宋体"/>
          <w:color w:val="404040"/>
          <w:sz w:val="30"/>
          <w:szCs w:val="30"/>
        </w:rPr>
      </w:pPr>
      <w:r>
        <w:rPr>
          <w:rFonts w:ascii="仿宋" w:eastAsia="仿宋" w:hAnsi="仿宋" w:cs="Times New Roman" w:hint="eastAsia"/>
          <w:b/>
          <w:bCs/>
          <w:color w:val="000000"/>
          <w:sz w:val="30"/>
          <w:szCs w:val="30"/>
        </w:rPr>
        <w:t>一、本行注册名称：临猗县新田村镇股份有限公司</w:t>
      </w:r>
    </w:p>
    <w:p w:rsidR="00FF2A1C" w:rsidRDefault="00236B06">
      <w:pPr>
        <w:adjustRightInd/>
        <w:snapToGrid/>
        <w:spacing w:after="0" w:line="600" w:lineRule="exact"/>
        <w:ind w:firstLineChars="200" w:firstLine="600"/>
        <w:jc w:val="both"/>
        <w:rPr>
          <w:rFonts w:ascii="仿宋" w:eastAsia="仿宋" w:hAnsi="仿宋" w:cs="宋体"/>
          <w:color w:val="404040"/>
          <w:sz w:val="30"/>
          <w:szCs w:val="30"/>
        </w:rPr>
      </w:pPr>
      <w:r>
        <w:rPr>
          <w:rFonts w:ascii="仿宋" w:eastAsia="仿宋" w:hAnsi="仿宋" w:cs="Times New Roman" w:hint="eastAsia"/>
          <w:color w:val="000000"/>
          <w:sz w:val="30"/>
          <w:szCs w:val="30"/>
        </w:rPr>
        <w:t>本行英文名称：LinYi County XinTian Village Bank Co</w:t>
      </w:r>
    </w:p>
    <w:p w:rsidR="00FF2A1C" w:rsidRDefault="00236B06">
      <w:pPr>
        <w:adjustRightInd/>
        <w:snapToGrid/>
        <w:spacing w:after="0" w:line="600" w:lineRule="exact"/>
        <w:ind w:firstLineChars="200" w:firstLine="602"/>
        <w:jc w:val="both"/>
        <w:rPr>
          <w:rFonts w:ascii="仿宋" w:eastAsia="仿宋" w:hAnsi="仿宋" w:cs="宋体"/>
          <w:color w:val="404040"/>
          <w:sz w:val="30"/>
          <w:szCs w:val="30"/>
        </w:rPr>
      </w:pPr>
      <w:r>
        <w:rPr>
          <w:rFonts w:ascii="仿宋" w:eastAsia="仿宋" w:hAnsi="仿宋" w:cs="Times New Roman" w:hint="eastAsia"/>
          <w:b/>
          <w:bCs/>
          <w:color w:val="000000"/>
          <w:sz w:val="30"/>
          <w:szCs w:val="30"/>
        </w:rPr>
        <w:t>二、本法定代表人：</w:t>
      </w:r>
      <w:r>
        <w:rPr>
          <w:rFonts w:ascii="仿宋" w:eastAsia="仿宋" w:hAnsi="仿宋" w:cs="Times New Roman" w:hint="eastAsia"/>
          <w:color w:val="000000"/>
          <w:sz w:val="30"/>
          <w:szCs w:val="30"/>
        </w:rPr>
        <w:t>范晓云</w:t>
      </w:r>
    </w:p>
    <w:p w:rsidR="00FF2A1C" w:rsidRDefault="00236B06">
      <w:pPr>
        <w:adjustRightInd/>
        <w:snapToGrid/>
        <w:spacing w:after="0" w:line="600" w:lineRule="exact"/>
        <w:ind w:firstLineChars="200" w:firstLine="602"/>
        <w:jc w:val="both"/>
        <w:rPr>
          <w:rFonts w:ascii="仿宋" w:eastAsia="仿宋" w:hAnsi="仿宋" w:cs="宋体"/>
          <w:color w:val="404040"/>
          <w:sz w:val="30"/>
          <w:szCs w:val="30"/>
        </w:rPr>
      </w:pPr>
      <w:r>
        <w:rPr>
          <w:rFonts w:ascii="仿宋" w:eastAsia="仿宋" w:hAnsi="仿宋" w:cs="Times New Roman" w:hint="eastAsia"/>
          <w:b/>
          <w:bCs/>
          <w:color w:val="000000"/>
          <w:sz w:val="30"/>
          <w:szCs w:val="30"/>
        </w:rPr>
        <w:t>三、本行注册地址及办公地址：</w:t>
      </w:r>
      <w:r>
        <w:rPr>
          <w:rFonts w:ascii="仿宋" w:eastAsia="仿宋" w:hAnsi="仿宋" w:cs="Times New Roman" w:hint="eastAsia"/>
          <w:color w:val="000000"/>
          <w:sz w:val="30"/>
          <w:szCs w:val="30"/>
        </w:rPr>
        <w:t>山西省临猗县南环东街518号</w:t>
      </w:r>
    </w:p>
    <w:p w:rsidR="00FF2A1C" w:rsidRDefault="00236B06">
      <w:pPr>
        <w:adjustRightInd/>
        <w:snapToGrid/>
        <w:spacing w:after="0" w:line="600" w:lineRule="exact"/>
        <w:ind w:firstLineChars="200" w:firstLine="600"/>
        <w:jc w:val="both"/>
        <w:rPr>
          <w:rFonts w:ascii="仿宋" w:eastAsia="仿宋" w:hAnsi="仿宋" w:cs="宋体"/>
          <w:color w:val="404040"/>
          <w:sz w:val="30"/>
          <w:szCs w:val="30"/>
        </w:rPr>
      </w:pPr>
      <w:r>
        <w:rPr>
          <w:rFonts w:ascii="仿宋" w:eastAsia="仿宋" w:hAnsi="仿宋" w:cs="Times New Roman" w:hint="eastAsia"/>
          <w:color w:val="000000"/>
          <w:sz w:val="30"/>
          <w:szCs w:val="30"/>
        </w:rPr>
        <w:t>邮政编码：044100</w:t>
      </w:r>
    </w:p>
    <w:p w:rsidR="00FF2A1C" w:rsidRDefault="00236B06">
      <w:pPr>
        <w:adjustRightInd/>
        <w:snapToGrid/>
        <w:spacing w:after="0" w:line="600" w:lineRule="exact"/>
        <w:ind w:firstLineChars="200" w:firstLine="602"/>
        <w:jc w:val="both"/>
        <w:rPr>
          <w:rFonts w:ascii="仿宋" w:eastAsia="仿宋" w:hAnsi="仿宋" w:cs="宋体"/>
          <w:color w:val="404040"/>
          <w:sz w:val="30"/>
          <w:szCs w:val="30"/>
        </w:rPr>
      </w:pPr>
      <w:r>
        <w:rPr>
          <w:rFonts w:ascii="仿宋" w:eastAsia="仿宋" w:hAnsi="仿宋" w:cs="Times New Roman" w:hint="eastAsia"/>
          <w:b/>
          <w:bCs/>
          <w:color w:val="000000"/>
          <w:sz w:val="30"/>
          <w:szCs w:val="30"/>
        </w:rPr>
        <w:lastRenderedPageBreak/>
        <w:t>四、本行选定的信息披露方式：</w:t>
      </w:r>
    </w:p>
    <w:p w:rsidR="00FF2A1C" w:rsidRDefault="00236B06">
      <w:pPr>
        <w:adjustRightInd/>
        <w:snapToGrid/>
        <w:spacing w:after="0" w:line="600" w:lineRule="exact"/>
        <w:ind w:firstLineChars="200" w:firstLine="600"/>
        <w:jc w:val="both"/>
        <w:rPr>
          <w:rFonts w:ascii="仿宋" w:eastAsia="仿宋" w:hAnsi="仿宋" w:cs="宋体"/>
          <w:color w:val="404040"/>
          <w:sz w:val="30"/>
          <w:szCs w:val="30"/>
        </w:rPr>
      </w:pPr>
      <w:r>
        <w:rPr>
          <w:rFonts w:ascii="仿宋" w:eastAsia="仿宋" w:hAnsi="仿宋" w:cs="Times New Roman" w:hint="eastAsia"/>
          <w:color w:val="000000"/>
          <w:sz w:val="30"/>
          <w:szCs w:val="30"/>
        </w:rPr>
        <w:t>年度报告备置地点：本行办公室及主要营业场所</w:t>
      </w:r>
    </w:p>
    <w:p w:rsidR="00FF2A1C" w:rsidRDefault="00236B06">
      <w:pPr>
        <w:adjustRightInd/>
        <w:snapToGrid/>
        <w:spacing w:after="0" w:line="600" w:lineRule="exact"/>
        <w:ind w:firstLineChars="200" w:firstLine="60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信息披露事务联系人：李少杰</w:t>
      </w:r>
    </w:p>
    <w:p w:rsidR="00FF2A1C" w:rsidRDefault="00236B06">
      <w:pPr>
        <w:adjustRightInd/>
        <w:snapToGrid/>
        <w:spacing w:after="0" w:line="600" w:lineRule="exact"/>
        <w:ind w:firstLineChars="200" w:firstLine="60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联系电话（传真）：0359-8831222</w:t>
      </w:r>
    </w:p>
    <w:p w:rsidR="00FF2A1C" w:rsidRDefault="00236B06">
      <w:pPr>
        <w:adjustRightInd/>
        <w:snapToGrid/>
        <w:spacing w:after="0" w:line="600" w:lineRule="exact"/>
        <w:ind w:firstLineChars="200" w:firstLine="600"/>
        <w:jc w:val="both"/>
        <w:rPr>
          <w:rFonts w:ascii="仿宋" w:eastAsia="仿宋" w:hAnsi="仿宋" w:cs="宋体"/>
          <w:color w:val="404040"/>
          <w:sz w:val="30"/>
          <w:szCs w:val="30"/>
        </w:rPr>
      </w:pPr>
      <w:r>
        <w:rPr>
          <w:rFonts w:ascii="仿宋" w:eastAsia="仿宋" w:hAnsi="仿宋" w:cs="Times New Roman" w:hint="eastAsia"/>
          <w:color w:val="000000"/>
          <w:sz w:val="30"/>
          <w:szCs w:val="30"/>
        </w:rPr>
        <w:t>电子邮箱：lyxtczyh@163.com</w:t>
      </w:r>
    </w:p>
    <w:p w:rsidR="00FF2A1C" w:rsidRDefault="00236B06">
      <w:pPr>
        <w:adjustRightInd/>
        <w:snapToGrid/>
        <w:spacing w:after="0" w:line="600" w:lineRule="exact"/>
        <w:ind w:firstLineChars="200" w:firstLine="602"/>
        <w:jc w:val="both"/>
        <w:rPr>
          <w:rFonts w:ascii="仿宋" w:eastAsia="仿宋" w:hAnsi="仿宋" w:cs="宋体"/>
          <w:color w:val="404040"/>
          <w:sz w:val="30"/>
          <w:szCs w:val="30"/>
        </w:rPr>
      </w:pPr>
      <w:r>
        <w:rPr>
          <w:rFonts w:ascii="仿宋" w:eastAsia="仿宋" w:hAnsi="仿宋" w:cs="Times New Roman" w:hint="eastAsia"/>
          <w:b/>
          <w:bCs/>
          <w:color w:val="000000"/>
          <w:sz w:val="30"/>
          <w:szCs w:val="30"/>
        </w:rPr>
        <w:t>五、其他有关信息：</w:t>
      </w:r>
    </w:p>
    <w:p w:rsidR="00FF2A1C" w:rsidRDefault="00236B06">
      <w:pPr>
        <w:adjustRightInd/>
        <w:snapToGrid/>
        <w:spacing w:after="0" w:line="600" w:lineRule="exact"/>
        <w:ind w:firstLineChars="200" w:firstLine="600"/>
        <w:jc w:val="both"/>
        <w:rPr>
          <w:rFonts w:ascii="仿宋" w:eastAsia="仿宋" w:hAnsi="仿宋" w:cs="宋体"/>
          <w:color w:val="404040"/>
          <w:sz w:val="30"/>
          <w:szCs w:val="30"/>
        </w:rPr>
      </w:pPr>
      <w:r>
        <w:rPr>
          <w:rFonts w:ascii="仿宋" w:eastAsia="仿宋" w:hAnsi="仿宋" w:cs="Times New Roman" w:hint="eastAsia"/>
          <w:color w:val="000000"/>
          <w:sz w:val="30"/>
          <w:szCs w:val="30"/>
        </w:rPr>
        <w:t>本行经银监会批准成立日期：2014年11月28日</w:t>
      </w:r>
    </w:p>
    <w:p w:rsidR="00FF2A1C" w:rsidRDefault="00236B06">
      <w:pPr>
        <w:adjustRightInd/>
        <w:snapToGrid/>
        <w:spacing w:after="0" w:line="600" w:lineRule="exact"/>
        <w:ind w:firstLineChars="200" w:firstLine="600"/>
        <w:jc w:val="both"/>
        <w:rPr>
          <w:rFonts w:ascii="仿宋" w:eastAsia="仿宋" w:hAnsi="仿宋" w:cs="宋体"/>
          <w:color w:val="404040"/>
          <w:sz w:val="30"/>
          <w:szCs w:val="30"/>
        </w:rPr>
      </w:pPr>
      <w:r>
        <w:rPr>
          <w:rFonts w:ascii="仿宋" w:eastAsia="仿宋" w:hAnsi="仿宋" w:cs="Times New Roman" w:hint="eastAsia"/>
          <w:color w:val="000000"/>
          <w:sz w:val="30"/>
          <w:szCs w:val="30"/>
        </w:rPr>
        <w:t>金融许可证机构编码：S0044H314080001</w:t>
      </w:r>
    </w:p>
    <w:p w:rsidR="00FF2A1C" w:rsidRDefault="00236B06">
      <w:pPr>
        <w:adjustRightInd/>
        <w:snapToGrid/>
        <w:spacing w:after="0" w:line="600" w:lineRule="exact"/>
        <w:ind w:firstLineChars="200" w:firstLine="600"/>
        <w:jc w:val="both"/>
        <w:rPr>
          <w:rFonts w:ascii="仿宋" w:eastAsia="仿宋" w:hAnsi="仿宋" w:cs="宋体"/>
          <w:color w:val="404040"/>
          <w:sz w:val="30"/>
          <w:szCs w:val="30"/>
        </w:rPr>
      </w:pPr>
      <w:r>
        <w:rPr>
          <w:rFonts w:ascii="仿宋" w:eastAsia="仿宋" w:hAnsi="仿宋" w:cs="Times New Roman" w:hint="eastAsia"/>
          <w:color w:val="000000"/>
          <w:sz w:val="30"/>
          <w:szCs w:val="30"/>
        </w:rPr>
        <w:t>本行注册登记日期：2014年12月11日</w:t>
      </w:r>
    </w:p>
    <w:p w:rsidR="00FF2A1C" w:rsidRPr="00844AA1" w:rsidRDefault="00236B06" w:rsidP="00844AA1">
      <w:pPr>
        <w:adjustRightInd/>
        <w:snapToGrid/>
        <w:spacing w:after="0" w:line="600" w:lineRule="exact"/>
        <w:ind w:firstLineChars="200" w:firstLine="60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登记地点：中国银行</w:t>
      </w:r>
      <w:r w:rsidR="00844AA1">
        <w:rPr>
          <w:rFonts w:ascii="仿宋" w:eastAsia="仿宋" w:hAnsi="仿宋" w:cs="Times New Roman" w:hint="eastAsia"/>
          <w:color w:val="000000"/>
          <w:sz w:val="30"/>
          <w:szCs w:val="30"/>
        </w:rPr>
        <w:t>保险</w:t>
      </w:r>
      <w:r>
        <w:rPr>
          <w:rFonts w:ascii="仿宋" w:eastAsia="仿宋" w:hAnsi="仿宋" w:cs="Times New Roman" w:hint="eastAsia"/>
          <w:color w:val="000000"/>
          <w:sz w:val="30"/>
          <w:szCs w:val="30"/>
        </w:rPr>
        <w:t>监督管理委员会运城监管分局</w:t>
      </w:r>
    </w:p>
    <w:p w:rsidR="00FF2A1C" w:rsidRDefault="00236B06">
      <w:pPr>
        <w:adjustRightInd/>
        <w:snapToGrid/>
        <w:spacing w:after="0" w:line="600" w:lineRule="exact"/>
        <w:ind w:firstLineChars="200" w:firstLine="600"/>
        <w:jc w:val="both"/>
        <w:rPr>
          <w:rFonts w:ascii="仿宋" w:eastAsia="仿宋" w:hAnsi="仿宋" w:cs="宋体"/>
          <w:color w:val="404040"/>
          <w:sz w:val="30"/>
          <w:szCs w:val="30"/>
        </w:rPr>
      </w:pPr>
      <w:r>
        <w:rPr>
          <w:rFonts w:ascii="仿宋" w:eastAsia="仿宋" w:hAnsi="仿宋" w:cs="Times New Roman" w:hint="eastAsia"/>
          <w:color w:val="000000"/>
          <w:sz w:val="30"/>
          <w:szCs w:val="30"/>
        </w:rPr>
        <w:t>本行经济性质：股份有限公司</w:t>
      </w:r>
    </w:p>
    <w:p w:rsidR="00FF2A1C" w:rsidRDefault="00236B06">
      <w:pPr>
        <w:adjustRightInd/>
        <w:snapToGrid/>
        <w:spacing w:after="0" w:line="600" w:lineRule="exact"/>
        <w:ind w:firstLineChars="200" w:firstLine="600"/>
        <w:jc w:val="both"/>
        <w:rPr>
          <w:rFonts w:ascii="仿宋" w:eastAsia="仿宋" w:hAnsi="仿宋" w:cs="宋体"/>
          <w:color w:val="404040"/>
          <w:sz w:val="30"/>
          <w:szCs w:val="30"/>
        </w:rPr>
      </w:pPr>
      <w:r>
        <w:rPr>
          <w:rFonts w:ascii="仿宋" w:eastAsia="仿宋" w:hAnsi="仿宋" w:cs="Times New Roman" w:hint="eastAsia"/>
          <w:color w:val="000000"/>
          <w:sz w:val="30"/>
          <w:szCs w:val="30"/>
        </w:rPr>
        <w:t>本行注册资金：人民币6000万元</w:t>
      </w:r>
    </w:p>
    <w:p w:rsidR="00FF2A1C" w:rsidRDefault="00236B06">
      <w:pPr>
        <w:adjustRightInd/>
        <w:snapToGrid/>
        <w:spacing w:after="0" w:line="600" w:lineRule="exact"/>
        <w:ind w:firstLineChars="200" w:firstLine="600"/>
        <w:rPr>
          <w:rFonts w:ascii="仿宋" w:eastAsia="仿宋" w:hAnsi="仿宋" w:cs="宋体"/>
          <w:color w:val="404040"/>
          <w:sz w:val="30"/>
          <w:szCs w:val="30"/>
        </w:rPr>
      </w:pPr>
      <w:r>
        <w:rPr>
          <w:rFonts w:ascii="仿宋" w:eastAsia="仿宋" w:hAnsi="仿宋" w:cs="Times New Roman" w:hint="eastAsia"/>
          <w:color w:val="000000"/>
          <w:sz w:val="30"/>
          <w:szCs w:val="30"/>
        </w:rPr>
        <w:t>企业法人营业执照统一社会信用代码9114080031718491XY</w:t>
      </w:r>
    </w:p>
    <w:p w:rsidR="00FF2A1C" w:rsidRDefault="00236B06">
      <w:pPr>
        <w:adjustRightInd/>
        <w:snapToGrid/>
        <w:spacing w:after="0" w:line="600" w:lineRule="exact"/>
        <w:ind w:firstLineChars="200" w:firstLine="602"/>
        <w:jc w:val="both"/>
        <w:rPr>
          <w:rFonts w:ascii="仿宋" w:eastAsia="仿宋" w:hAnsi="仿宋" w:cs="宋体"/>
          <w:color w:val="404040"/>
          <w:sz w:val="30"/>
          <w:szCs w:val="30"/>
        </w:rPr>
      </w:pPr>
      <w:r>
        <w:rPr>
          <w:rFonts w:ascii="仿宋" w:eastAsia="仿宋" w:hAnsi="仿宋" w:cs="Times New Roman" w:hint="eastAsia"/>
          <w:b/>
          <w:bCs/>
          <w:color w:val="000000"/>
          <w:sz w:val="30"/>
          <w:szCs w:val="30"/>
        </w:rPr>
        <w:t>六、本行经营范围：</w:t>
      </w:r>
      <w:bookmarkStart w:id="1" w:name="_Toc193883015"/>
      <w:r>
        <w:rPr>
          <w:rFonts w:ascii="仿宋" w:eastAsia="仿宋" w:hAnsi="仿宋" w:cs="Times New Roman" w:hint="eastAsia"/>
          <w:color w:val="000000"/>
          <w:sz w:val="30"/>
          <w:szCs w:val="30"/>
        </w:rPr>
        <w:t>吸收公众存款；发放短期、中期和长期贷款；办理国内结算；办理票据承兑与贴现；从事同业拆借；代理发行、代理兑付、承销政府债券；从事银行卡（借记卡）业务；经银行业监督管理机构批准的其他业务。</w:t>
      </w:r>
      <w:bookmarkEnd w:id="1"/>
      <w:r>
        <w:rPr>
          <w:rFonts w:ascii="仿宋" w:eastAsia="仿宋" w:hAnsi="仿宋" w:cs="Times New Roman" w:hint="eastAsia"/>
          <w:color w:val="000000"/>
          <w:sz w:val="30"/>
          <w:szCs w:val="30"/>
        </w:rPr>
        <w:t>（依法须经批准的项目，经相关部门批准后方可开展经营活动）</w:t>
      </w:r>
    </w:p>
    <w:p w:rsidR="00FF2A1C" w:rsidRDefault="00FF2A1C">
      <w:pPr>
        <w:pStyle w:val="1"/>
        <w:spacing w:before="0" w:beforeAutospacing="0" w:after="0" w:afterAutospacing="0" w:line="600" w:lineRule="exact"/>
        <w:ind w:firstLineChars="200" w:firstLine="602"/>
        <w:rPr>
          <w:rStyle w:val="a8"/>
          <w:rFonts w:ascii="仿宋" w:eastAsia="仿宋" w:hAnsi="仿宋"/>
          <w:b/>
          <w:bCs/>
          <w:color w:val="000000"/>
          <w:sz w:val="30"/>
          <w:szCs w:val="30"/>
        </w:rPr>
      </w:pPr>
      <w:bookmarkStart w:id="2" w:name="_Toc481079991"/>
    </w:p>
    <w:p w:rsidR="00FF2A1C" w:rsidRDefault="00236B06">
      <w:pPr>
        <w:pStyle w:val="1"/>
        <w:spacing w:before="0" w:beforeAutospacing="0" w:after="0" w:afterAutospacing="0" w:line="600" w:lineRule="exact"/>
        <w:ind w:firstLineChars="200" w:firstLine="602"/>
        <w:jc w:val="center"/>
        <w:rPr>
          <w:rFonts w:ascii="仿宋" w:eastAsia="仿宋" w:hAnsi="仿宋"/>
          <w:color w:val="404040"/>
          <w:sz w:val="30"/>
          <w:szCs w:val="30"/>
        </w:rPr>
      </w:pPr>
      <w:r>
        <w:rPr>
          <w:rStyle w:val="a8"/>
          <w:rFonts w:ascii="仿宋" w:eastAsia="仿宋" w:hAnsi="仿宋" w:hint="eastAsia"/>
          <w:b/>
          <w:bCs/>
          <w:color w:val="000000"/>
          <w:sz w:val="30"/>
          <w:szCs w:val="30"/>
        </w:rPr>
        <w:t>第二章　经营概况</w:t>
      </w:r>
      <w:bookmarkStart w:id="3" w:name="_Toc193883016"/>
      <w:bookmarkStart w:id="4" w:name="_Toc227401501"/>
      <w:bookmarkEnd w:id="2"/>
      <w:bookmarkEnd w:id="3"/>
      <w:bookmarkEnd w:id="4"/>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微软雅黑" w:hint="eastAsia"/>
          <w:color w:val="404040"/>
          <w:sz w:val="30"/>
          <w:szCs w:val="30"/>
        </w:rPr>
        <w:t> </w:t>
      </w:r>
    </w:p>
    <w:p w:rsidR="00FF2A1C" w:rsidRDefault="00B92024" w:rsidP="00B92024">
      <w:pPr>
        <w:pStyle w:val="a7"/>
        <w:spacing w:before="0" w:beforeAutospacing="0" w:after="0" w:afterAutospacing="0" w:line="600" w:lineRule="exact"/>
        <w:ind w:firstLineChars="200" w:firstLine="640"/>
        <w:jc w:val="both"/>
        <w:rPr>
          <w:rFonts w:ascii="仿宋" w:eastAsia="仿宋" w:hAnsi="仿宋" w:cs="Times New Roman"/>
          <w:color w:val="000000"/>
          <w:sz w:val="30"/>
          <w:szCs w:val="30"/>
        </w:rPr>
      </w:pPr>
      <w:r>
        <w:rPr>
          <w:rFonts w:ascii="仿宋" w:eastAsia="仿宋" w:hAnsi="仿宋" w:cs="仿宋" w:hint="eastAsia"/>
          <w:sz w:val="32"/>
          <w:szCs w:val="32"/>
        </w:rPr>
        <w:t>2021年是十四五规划开局之年，是中国共产党诞辰一百周年，更是新田银行坚定跟党走、奋进新征程、排除万</w:t>
      </w:r>
      <w:r>
        <w:rPr>
          <w:rFonts w:ascii="仿宋" w:eastAsia="仿宋" w:hAnsi="仿宋" w:cs="仿宋" w:hint="eastAsia"/>
          <w:sz w:val="32"/>
          <w:szCs w:val="32"/>
        </w:rPr>
        <w:lastRenderedPageBreak/>
        <w:t>难谋发展的攻坚年。全行上下深入开展党史学习教育活动，牢记习近平总书记“悟思想、办实事”的重托，紧紧围绕董事会制定的各项目标任务，在人民银行及银保监部门的监管指导下齐心协力、攻坚克难，服务县域，惠利百姓，各项业务均取得了较好成绩。</w:t>
      </w:r>
      <w:r w:rsidR="00236B06">
        <w:rPr>
          <w:rFonts w:ascii="仿宋" w:eastAsia="仿宋" w:hAnsi="仿宋" w:cs="Times New Roman" w:hint="eastAsia"/>
          <w:color w:val="000000"/>
          <w:sz w:val="30"/>
          <w:szCs w:val="30"/>
        </w:rPr>
        <w:t>截至2021年末，本行资产总额为77223万元，比年初增长34.3%；负债总额为70324万元，比年初增长38.3%；所有者权益为6899万元，实现净利润523万元，全年上缴税金18</w:t>
      </w:r>
      <w:r w:rsidR="006A07D2">
        <w:rPr>
          <w:rFonts w:ascii="仿宋" w:eastAsia="仿宋" w:hAnsi="仿宋" w:cs="Times New Roman" w:hint="eastAsia"/>
          <w:color w:val="000000"/>
          <w:sz w:val="30"/>
          <w:szCs w:val="30"/>
        </w:rPr>
        <w:t>4</w:t>
      </w:r>
      <w:r w:rsidR="00236B06">
        <w:rPr>
          <w:rFonts w:ascii="仿宋" w:eastAsia="仿宋" w:hAnsi="仿宋" w:cs="Times New Roman" w:hint="eastAsia"/>
          <w:color w:val="000000"/>
          <w:sz w:val="30"/>
          <w:szCs w:val="30"/>
        </w:rPr>
        <w:t>万元。资产利润率为</w:t>
      </w:r>
      <w:r w:rsidR="006A07D2">
        <w:rPr>
          <w:rFonts w:ascii="仿宋" w:eastAsia="仿宋" w:hAnsi="仿宋" w:cs="Times New Roman" w:hint="eastAsia"/>
          <w:color w:val="000000"/>
          <w:sz w:val="30"/>
          <w:szCs w:val="30"/>
        </w:rPr>
        <w:t>0.</w:t>
      </w:r>
      <w:r w:rsidR="00236B06">
        <w:rPr>
          <w:rFonts w:ascii="仿宋" w:eastAsia="仿宋" w:hAnsi="仿宋" w:cs="Times New Roman" w:hint="eastAsia"/>
          <w:color w:val="000000"/>
          <w:sz w:val="30"/>
          <w:szCs w:val="30"/>
        </w:rPr>
        <w:t>8%，资本利润率为</w:t>
      </w:r>
      <w:r w:rsidR="006A07D2">
        <w:rPr>
          <w:rFonts w:ascii="仿宋" w:eastAsia="仿宋" w:hAnsi="仿宋" w:cs="Times New Roman" w:hint="eastAsia"/>
          <w:color w:val="000000"/>
          <w:sz w:val="30"/>
          <w:szCs w:val="30"/>
        </w:rPr>
        <w:t>7.7</w:t>
      </w:r>
      <w:r w:rsidR="00236B06">
        <w:rPr>
          <w:rFonts w:ascii="仿宋" w:eastAsia="仿宋" w:hAnsi="仿宋" w:cs="Times New Roman" w:hint="eastAsia"/>
          <w:color w:val="000000"/>
          <w:sz w:val="30"/>
          <w:szCs w:val="30"/>
        </w:rPr>
        <w:t>%，累计提取贷款减值准备金1430万元，拨备覆盖率达到200.5%，拨贷比为3.6%，流动性比例为188.</w:t>
      </w:r>
      <w:r w:rsidR="006A07D2">
        <w:rPr>
          <w:rFonts w:ascii="仿宋" w:eastAsia="仿宋" w:hAnsi="仿宋" w:cs="Times New Roman" w:hint="eastAsia"/>
          <w:color w:val="000000"/>
          <w:sz w:val="30"/>
          <w:szCs w:val="30"/>
        </w:rPr>
        <w:t>3</w:t>
      </w:r>
      <w:r w:rsidR="00236B06">
        <w:rPr>
          <w:rFonts w:ascii="仿宋" w:eastAsia="仿宋" w:hAnsi="仿宋" w:cs="Times New Roman" w:hint="eastAsia"/>
          <w:color w:val="000000"/>
          <w:sz w:val="30"/>
          <w:szCs w:val="30"/>
        </w:rPr>
        <w:t>%，资本充足率为17.</w:t>
      </w:r>
      <w:r w:rsidR="006A07D2">
        <w:rPr>
          <w:rFonts w:ascii="仿宋" w:eastAsia="仿宋" w:hAnsi="仿宋" w:cs="Times New Roman" w:hint="eastAsia"/>
          <w:color w:val="000000"/>
          <w:sz w:val="30"/>
          <w:szCs w:val="30"/>
        </w:rPr>
        <w:t>4</w:t>
      </w:r>
      <w:r w:rsidR="00236B06">
        <w:rPr>
          <w:rFonts w:ascii="仿宋" w:eastAsia="仿宋" w:hAnsi="仿宋" w:cs="Times New Roman" w:hint="eastAsia"/>
          <w:color w:val="000000"/>
          <w:sz w:val="30"/>
          <w:szCs w:val="30"/>
        </w:rPr>
        <w:t>%，全年安全无事故，各项主要监管指标符合监管要求。</w:t>
      </w:r>
    </w:p>
    <w:p w:rsidR="005B61E0" w:rsidRDefault="005B61E0" w:rsidP="005B61E0">
      <w:pPr>
        <w:pStyle w:val="a7"/>
        <w:spacing w:before="0" w:beforeAutospacing="0" w:after="0" w:afterAutospacing="0" w:line="600" w:lineRule="exact"/>
        <w:ind w:firstLineChars="200" w:firstLine="600"/>
        <w:jc w:val="both"/>
        <w:rPr>
          <w:rFonts w:ascii="仿宋" w:eastAsia="仿宋" w:hAnsi="仿宋"/>
          <w:color w:val="404040"/>
          <w:sz w:val="30"/>
          <w:szCs w:val="30"/>
        </w:rPr>
      </w:pPr>
    </w:p>
    <w:p w:rsidR="00FF2A1C" w:rsidRDefault="00236B06">
      <w:pPr>
        <w:pStyle w:val="2"/>
        <w:spacing w:line="600" w:lineRule="exact"/>
        <w:ind w:firstLineChars="200" w:firstLine="600"/>
        <w:jc w:val="both"/>
        <w:rPr>
          <w:rFonts w:ascii="微软雅黑" w:eastAsia="微软雅黑" w:hAnsi="微软雅黑"/>
          <w:color w:val="404040"/>
          <w:sz w:val="30"/>
          <w:szCs w:val="30"/>
        </w:rPr>
      </w:pPr>
      <w:r>
        <w:rPr>
          <w:rStyle w:val="a8"/>
          <w:rFonts w:ascii="Arial" w:eastAsia="微软雅黑" w:hAnsi="Arial" w:cs="Arial"/>
          <w:b/>
          <w:bCs/>
          <w:color w:val="404040"/>
          <w:sz w:val="30"/>
          <w:szCs w:val="30"/>
        </w:rPr>
        <w:t> </w:t>
      </w:r>
      <w:bookmarkStart w:id="5" w:name="_Toc481079992"/>
      <w:r>
        <w:rPr>
          <w:rStyle w:val="a8"/>
          <w:rFonts w:cs="Arial" w:hint="eastAsia"/>
          <w:b/>
          <w:bCs/>
          <w:color w:val="000000"/>
          <w:sz w:val="30"/>
          <w:szCs w:val="30"/>
        </w:rPr>
        <w:t>一</w:t>
      </w:r>
      <w:bookmarkEnd w:id="5"/>
      <w:r>
        <w:rPr>
          <w:rStyle w:val="a8"/>
          <w:rFonts w:cs="Arial" w:hint="eastAsia"/>
          <w:b/>
          <w:bCs/>
          <w:color w:val="000000"/>
          <w:sz w:val="30"/>
          <w:szCs w:val="30"/>
        </w:rPr>
        <w:t>、支农支小业务开展情况</w:t>
      </w:r>
    </w:p>
    <w:p w:rsidR="00FF2A1C" w:rsidRDefault="00236B06">
      <w:pPr>
        <w:pStyle w:val="a7"/>
        <w:spacing w:before="0" w:beforeAutospacing="0" w:after="0" w:afterAutospacing="0" w:line="600" w:lineRule="exact"/>
        <w:ind w:firstLineChars="200" w:firstLine="420"/>
        <w:jc w:val="center"/>
        <w:rPr>
          <w:rFonts w:ascii="微软雅黑" w:eastAsia="微软雅黑" w:hAnsi="微软雅黑"/>
          <w:color w:val="404040"/>
          <w:sz w:val="15"/>
          <w:szCs w:val="15"/>
        </w:rPr>
      </w:pPr>
      <w:r>
        <w:rPr>
          <w:rFonts w:ascii="Times New Roman" w:eastAsia="微软雅黑" w:hAnsi="Times New Roman" w:cs="Times New Roman"/>
          <w:color w:val="404040"/>
          <w:sz w:val="21"/>
          <w:szCs w:val="21"/>
        </w:rPr>
        <w:t>                              </w:t>
      </w:r>
      <w:r>
        <w:rPr>
          <w:rFonts w:cs="Times New Roman" w:hint="eastAsia"/>
          <w:color w:val="000000"/>
          <w:spacing w:val="20"/>
        </w:rPr>
        <w:t>单位：人民币万元、户、%</w:t>
      </w:r>
    </w:p>
    <w:tbl>
      <w:tblPr>
        <w:tblW w:w="7818" w:type="dxa"/>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4127"/>
        <w:gridCol w:w="3691"/>
      </w:tblGrid>
      <w:tr w:rsidR="00FF2A1C">
        <w:trPr>
          <w:trHeight w:val="264"/>
          <w:jc w:val="center"/>
        </w:trPr>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项目</w:t>
            </w:r>
          </w:p>
        </w:tc>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2021年度</w:t>
            </w:r>
          </w:p>
        </w:tc>
      </w:tr>
      <w:tr w:rsidR="00FF2A1C">
        <w:trPr>
          <w:trHeight w:val="264"/>
          <w:jc w:val="center"/>
        </w:trPr>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各项贷款余额</w:t>
            </w:r>
          </w:p>
        </w:tc>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rsidP="006A07D2">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color w:val="FF0000"/>
              </w:rPr>
              <w:t>39683</w:t>
            </w:r>
          </w:p>
        </w:tc>
      </w:tr>
      <w:tr w:rsidR="00FF2A1C">
        <w:trPr>
          <w:trHeight w:val="275"/>
          <w:jc w:val="center"/>
        </w:trPr>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农户和小微贷款合计占比</w:t>
            </w:r>
          </w:p>
        </w:tc>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hint="eastAsia"/>
                <w:color w:val="FF0000"/>
              </w:rPr>
              <w:t>97.7</w:t>
            </w:r>
          </w:p>
        </w:tc>
      </w:tr>
      <w:tr w:rsidR="00FF2A1C">
        <w:trPr>
          <w:trHeight w:val="264"/>
          <w:jc w:val="center"/>
        </w:trPr>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累计发放农户和小微企业客户数</w:t>
            </w:r>
          </w:p>
        </w:tc>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hint="eastAsia"/>
                <w:color w:val="FF0000"/>
              </w:rPr>
              <w:t>8036</w:t>
            </w:r>
          </w:p>
        </w:tc>
      </w:tr>
    </w:tbl>
    <w:p w:rsidR="00FF2A1C" w:rsidRDefault="00236B06">
      <w:pPr>
        <w:pStyle w:val="2"/>
        <w:spacing w:line="600" w:lineRule="exact"/>
        <w:ind w:firstLineChars="200" w:firstLine="602"/>
        <w:jc w:val="both"/>
        <w:rPr>
          <w:rFonts w:ascii="仿宋" w:eastAsia="仿宋" w:hAnsi="仿宋"/>
          <w:color w:val="404040"/>
          <w:sz w:val="30"/>
          <w:szCs w:val="30"/>
        </w:rPr>
      </w:pPr>
      <w:bookmarkStart w:id="6" w:name="_Toc481079993"/>
      <w:r>
        <w:rPr>
          <w:rStyle w:val="a8"/>
          <w:rFonts w:ascii="仿宋" w:eastAsia="仿宋" w:hAnsi="仿宋" w:cs="Arial" w:hint="eastAsia"/>
          <w:b/>
          <w:bCs/>
          <w:color w:val="000000"/>
          <w:sz w:val="30"/>
          <w:szCs w:val="30"/>
        </w:rPr>
        <w:t>二、</w:t>
      </w:r>
      <w:bookmarkStart w:id="7" w:name="_Toc193883020"/>
      <w:bookmarkEnd w:id="6"/>
      <w:r>
        <w:rPr>
          <w:rStyle w:val="a8"/>
          <w:rFonts w:ascii="仿宋" w:eastAsia="仿宋" w:hAnsi="仿宋" w:cs="Arial" w:hint="eastAsia"/>
          <w:b/>
          <w:bCs/>
          <w:color w:val="000000"/>
          <w:sz w:val="30"/>
          <w:szCs w:val="30"/>
        </w:rPr>
        <w:t>截止报告期末主要合规性监管指标</w:t>
      </w:r>
      <w:bookmarkEnd w:id="7"/>
    </w:p>
    <w:tbl>
      <w:tblPr>
        <w:tblW w:w="7869" w:type="dxa"/>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4300"/>
        <w:gridCol w:w="1799"/>
        <w:gridCol w:w="1770"/>
      </w:tblGrid>
      <w:tr w:rsidR="00FF2A1C">
        <w:trPr>
          <w:trHeight w:val="440"/>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项目</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标准值</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105" w:lineRule="atLeast"/>
              <w:jc w:val="center"/>
              <w:rPr>
                <w:rFonts w:ascii="仿宋" w:eastAsia="仿宋" w:hAnsi="仿宋"/>
                <w:color w:val="404040"/>
              </w:rPr>
            </w:pPr>
            <w:r>
              <w:rPr>
                <w:rFonts w:ascii="仿宋" w:eastAsia="仿宋" w:hAnsi="仿宋" w:cs="Times New Roman" w:hint="eastAsia"/>
                <w:color w:val="FF0000"/>
              </w:rPr>
              <w:t>2021年度</w:t>
            </w:r>
          </w:p>
        </w:tc>
      </w:tr>
      <w:tr w:rsidR="00FF2A1C">
        <w:trPr>
          <w:trHeight w:val="224"/>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lastRenderedPageBreak/>
              <w:t>资本充足率（%）</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≥10.5</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17.</w:t>
            </w:r>
            <w:r w:rsidR="00F54045">
              <w:rPr>
                <w:rFonts w:ascii="仿宋" w:eastAsia="仿宋" w:hAnsi="仿宋" w:cs="Times New Roman" w:hint="eastAsia"/>
                <w:color w:val="FF0000"/>
              </w:rPr>
              <w:t>4</w:t>
            </w:r>
          </w:p>
        </w:tc>
      </w:tr>
      <w:tr w:rsidR="00FF2A1C">
        <w:trPr>
          <w:trHeight w:val="171"/>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核心资本充足率（%）</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≥8.5</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16.</w:t>
            </w:r>
            <w:r w:rsidR="00F54045">
              <w:rPr>
                <w:rFonts w:ascii="仿宋" w:eastAsia="仿宋" w:hAnsi="仿宋" w:cs="Times New Roman" w:hint="eastAsia"/>
                <w:color w:val="FF0000"/>
              </w:rPr>
              <w:t>3</w:t>
            </w:r>
          </w:p>
        </w:tc>
      </w:tr>
      <w:tr w:rsidR="00FF2A1C">
        <w:trPr>
          <w:trHeight w:val="276"/>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流动性比率（%）</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≥25</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188.</w:t>
            </w:r>
            <w:r w:rsidR="00F54045">
              <w:rPr>
                <w:rFonts w:ascii="仿宋" w:eastAsia="仿宋" w:hAnsi="仿宋" w:cs="Times New Roman" w:hint="eastAsia"/>
                <w:color w:val="FF0000"/>
              </w:rPr>
              <w:t>3</w:t>
            </w:r>
          </w:p>
        </w:tc>
      </w:tr>
      <w:tr w:rsidR="00FF2A1C">
        <w:trPr>
          <w:trHeight w:val="60"/>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存贷比（%）</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≤75</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F54045">
            <w:pPr>
              <w:pStyle w:val="a7"/>
              <w:spacing w:before="0" w:beforeAutospacing="0" w:after="0" w:afterAutospacing="0" w:line="60" w:lineRule="atLeast"/>
              <w:jc w:val="center"/>
              <w:rPr>
                <w:rFonts w:ascii="仿宋" w:eastAsia="仿宋" w:hAnsi="仿宋"/>
                <w:color w:val="404040"/>
                <w:highlight w:val="yellow"/>
              </w:rPr>
            </w:pPr>
            <w:r>
              <w:rPr>
                <w:rFonts w:ascii="仿宋" w:eastAsia="仿宋" w:hAnsi="仿宋" w:cs="Times New Roman" w:hint="eastAsia"/>
                <w:color w:val="FF0000"/>
              </w:rPr>
              <w:t>66.</w:t>
            </w:r>
            <w:r w:rsidR="00236B06">
              <w:rPr>
                <w:rFonts w:ascii="仿宋" w:eastAsia="仿宋" w:hAnsi="仿宋" w:cs="Times New Roman" w:hint="eastAsia"/>
                <w:color w:val="FF0000"/>
              </w:rPr>
              <w:t>9</w:t>
            </w:r>
          </w:p>
        </w:tc>
      </w:tr>
      <w:tr w:rsidR="00FF2A1C">
        <w:trPr>
          <w:trHeight w:val="199"/>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日均存贷比（%）</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≥50</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404040"/>
                <w:highlight w:val="yellow"/>
              </w:rPr>
            </w:pPr>
            <w:r>
              <w:rPr>
                <w:rFonts w:ascii="仿宋" w:eastAsia="仿宋" w:hAnsi="仿宋" w:hint="eastAsia"/>
                <w:color w:val="FF0000"/>
              </w:rPr>
              <w:t>71.</w:t>
            </w:r>
            <w:r w:rsidR="00F54045">
              <w:rPr>
                <w:rFonts w:ascii="仿宋" w:eastAsia="仿宋" w:hAnsi="仿宋" w:hint="eastAsia"/>
                <w:color w:val="FF0000"/>
              </w:rPr>
              <w:t>1</w:t>
            </w:r>
          </w:p>
        </w:tc>
      </w:tr>
      <w:tr w:rsidR="00FF2A1C">
        <w:trPr>
          <w:trHeight w:val="304"/>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净拆借资金比例（%）</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≤-4</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0</w:t>
            </w:r>
          </w:p>
        </w:tc>
      </w:tr>
      <w:tr w:rsidR="00FF2A1C">
        <w:trPr>
          <w:trHeight w:val="268"/>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不良贷款比例（%）</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≤5</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FF0000"/>
              </w:rPr>
            </w:pPr>
            <w:r>
              <w:rPr>
                <w:rFonts w:ascii="仿宋" w:eastAsia="仿宋" w:hAnsi="仿宋" w:cs="Times New Roman" w:hint="eastAsia"/>
                <w:color w:val="FF0000"/>
              </w:rPr>
              <w:t>1.8</w:t>
            </w:r>
          </w:p>
        </w:tc>
      </w:tr>
      <w:tr w:rsidR="00FF2A1C">
        <w:trPr>
          <w:trHeight w:val="228"/>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贷款拨备率（%）</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≥2.5</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3.6</w:t>
            </w:r>
          </w:p>
        </w:tc>
      </w:tr>
      <w:tr w:rsidR="00FF2A1C">
        <w:trPr>
          <w:trHeight w:val="131"/>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拨备覆盖率（%）</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≥150</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200.5</w:t>
            </w:r>
          </w:p>
        </w:tc>
      </w:tr>
      <w:tr w:rsidR="00FF2A1C">
        <w:trPr>
          <w:trHeight w:val="273"/>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资本利润率</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≥11</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hint="eastAsia"/>
                <w:color w:val="FF0000"/>
              </w:rPr>
              <w:t>7.7</w:t>
            </w:r>
          </w:p>
        </w:tc>
      </w:tr>
      <w:tr w:rsidR="00FF2A1C">
        <w:trPr>
          <w:trHeight w:val="234"/>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资产利润率</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≥0.6</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F54045">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0.</w:t>
            </w:r>
            <w:r w:rsidR="00236B06">
              <w:rPr>
                <w:rFonts w:ascii="仿宋" w:eastAsia="仿宋" w:hAnsi="仿宋" w:cs="Times New Roman" w:hint="eastAsia"/>
                <w:color w:val="FF0000"/>
              </w:rPr>
              <w:t>8</w:t>
            </w:r>
          </w:p>
        </w:tc>
      </w:tr>
      <w:tr w:rsidR="00FF2A1C">
        <w:trPr>
          <w:trHeight w:val="339"/>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成本收入比</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≤45</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71.7</w:t>
            </w:r>
          </w:p>
        </w:tc>
      </w:tr>
      <w:tr w:rsidR="00FF2A1C">
        <w:trPr>
          <w:trHeight w:val="272"/>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流动性缺口率</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≥-10</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hint="eastAsia"/>
                <w:color w:val="FF0000"/>
              </w:rPr>
              <w:t>6</w:t>
            </w:r>
            <w:r w:rsidR="00F54045">
              <w:rPr>
                <w:rFonts w:ascii="仿宋" w:eastAsia="仿宋" w:hAnsi="仿宋" w:hint="eastAsia"/>
                <w:color w:val="FF0000"/>
              </w:rPr>
              <w:t>2</w:t>
            </w:r>
          </w:p>
        </w:tc>
      </w:tr>
      <w:tr w:rsidR="00FF2A1C">
        <w:trPr>
          <w:trHeight w:val="234"/>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最大单一客户贷款比例（%）</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≤10</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F54045">
            <w:pPr>
              <w:pStyle w:val="a7"/>
              <w:spacing w:before="0" w:beforeAutospacing="0" w:after="0" w:afterAutospacing="0"/>
              <w:jc w:val="center"/>
              <w:rPr>
                <w:rFonts w:ascii="仿宋" w:eastAsia="仿宋" w:hAnsi="仿宋"/>
                <w:color w:val="FF0000"/>
              </w:rPr>
            </w:pPr>
            <w:r>
              <w:rPr>
                <w:rFonts w:ascii="仿宋" w:eastAsia="仿宋" w:hAnsi="仿宋" w:hint="eastAsia"/>
                <w:color w:val="FF0000"/>
              </w:rPr>
              <w:t>6.</w:t>
            </w:r>
            <w:r w:rsidR="00236B06">
              <w:rPr>
                <w:rFonts w:ascii="仿宋" w:eastAsia="仿宋" w:hAnsi="仿宋" w:hint="eastAsia"/>
                <w:color w:val="FF0000"/>
              </w:rPr>
              <w:t>8</w:t>
            </w:r>
          </w:p>
        </w:tc>
      </w:tr>
      <w:tr w:rsidR="00FF2A1C">
        <w:trPr>
          <w:trHeight w:val="195"/>
          <w:jc w:val="center"/>
        </w:trPr>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单一集团客户授信集中度（%）</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≤15</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hint="eastAsia"/>
                <w:color w:val="FF0000"/>
              </w:rPr>
              <w:t>0</w:t>
            </w:r>
          </w:p>
        </w:tc>
      </w:tr>
    </w:tbl>
    <w:p w:rsidR="00FF2A1C" w:rsidRDefault="00236B06">
      <w:pPr>
        <w:pStyle w:val="2"/>
        <w:spacing w:line="600" w:lineRule="exact"/>
        <w:ind w:firstLineChars="200" w:firstLine="602"/>
        <w:jc w:val="both"/>
        <w:rPr>
          <w:rFonts w:ascii="仿宋" w:eastAsia="仿宋" w:hAnsi="仿宋"/>
          <w:color w:val="404040"/>
          <w:sz w:val="30"/>
          <w:szCs w:val="30"/>
        </w:rPr>
      </w:pPr>
      <w:bookmarkStart w:id="8" w:name="_Toc481079994"/>
      <w:r>
        <w:rPr>
          <w:rStyle w:val="a8"/>
          <w:rFonts w:ascii="仿宋" w:eastAsia="仿宋" w:hAnsi="仿宋" w:cs="Arial" w:hint="eastAsia"/>
          <w:b/>
          <w:bCs/>
          <w:color w:val="000000"/>
          <w:sz w:val="30"/>
          <w:szCs w:val="30"/>
        </w:rPr>
        <w:t>三、应交纳保费金额统计表</w:t>
      </w:r>
      <w:bookmarkEnd w:id="8"/>
    </w:p>
    <w:p w:rsidR="00FF2A1C" w:rsidRDefault="00236B06" w:rsidP="00B92024">
      <w:pPr>
        <w:pStyle w:val="a7"/>
        <w:spacing w:before="0" w:beforeAutospacing="0" w:after="0" w:afterAutospacing="0" w:line="600" w:lineRule="exact"/>
        <w:ind w:firstLineChars="200" w:firstLine="520"/>
        <w:jc w:val="right"/>
        <w:rPr>
          <w:rFonts w:ascii="仿宋" w:eastAsia="仿宋" w:hAnsi="仿宋"/>
          <w:color w:val="404040"/>
        </w:rPr>
      </w:pPr>
      <w:r>
        <w:rPr>
          <w:rFonts w:ascii="仿宋" w:eastAsia="仿宋" w:hAnsi="仿宋" w:cs="Times New Roman" w:hint="eastAsia"/>
          <w:color w:val="000000"/>
          <w:spacing w:val="20"/>
        </w:rPr>
        <w:t>单位：万元</w:t>
      </w:r>
    </w:p>
    <w:tbl>
      <w:tblPr>
        <w:tblW w:w="8121" w:type="dxa"/>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799"/>
        <w:gridCol w:w="2670"/>
        <w:gridCol w:w="2143"/>
        <w:gridCol w:w="2509"/>
      </w:tblGrid>
      <w:tr w:rsidR="00FF2A1C">
        <w:trPr>
          <w:trHeight w:val="244"/>
          <w:jc w:val="center"/>
        </w:trPr>
        <w:tc>
          <w:tcPr>
            <w:tcW w:w="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序号</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缴费时间</w:t>
            </w:r>
          </w:p>
        </w:tc>
        <w:tc>
          <w:tcPr>
            <w:tcW w:w="2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本期保费基数</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本期应交纳保费数额</w:t>
            </w:r>
          </w:p>
        </w:tc>
      </w:tr>
      <w:tr w:rsidR="00FF2A1C">
        <w:trPr>
          <w:trHeight w:val="279"/>
          <w:jc w:val="center"/>
        </w:trPr>
        <w:tc>
          <w:tcPr>
            <w:tcW w:w="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1</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2021年1月-6月</w:t>
            </w:r>
          </w:p>
        </w:tc>
        <w:tc>
          <w:tcPr>
            <w:tcW w:w="2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s="Times New Roman"/>
                <w:color w:val="404040"/>
              </w:rPr>
            </w:pPr>
            <w:r>
              <w:rPr>
                <w:rFonts w:ascii="仿宋" w:eastAsia="仿宋" w:hAnsi="仿宋" w:cs="Times New Roman" w:hint="eastAsia"/>
                <w:color w:val="FF0000"/>
              </w:rPr>
              <w:t>4695</w:t>
            </w:r>
            <w:r w:rsidR="00F54045">
              <w:rPr>
                <w:rFonts w:ascii="仿宋" w:eastAsia="仿宋" w:hAnsi="仿宋" w:cs="Times New Roman" w:hint="eastAsia"/>
                <w:color w:val="FF0000"/>
              </w:rPr>
              <w:t>3</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s="Times New Roman"/>
                <w:color w:val="404040"/>
              </w:rPr>
            </w:pPr>
            <w:r>
              <w:rPr>
                <w:rFonts w:ascii="仿宋" w:eastAsia="仿宋" w:hAnsi="仿宋" w:cs="Times New Roman" w:hint="eastAsia"/>
                <w:color w:val="FF0000"/>
              </w:rPr>
              <w:t>5.</w:t>
            </w:r>
            <w:r w:rsidR="00F53F19">
              <w:rPr>
                <w:rFonts w:ascii="仿宋" w:eastAsia="仿宋" w:hAnsi="仿宋" w:cs="Times New Roman" w:hint="eastAsia"/>
                <w:color w:val="FF0000"/>
              </w:rPr>
              <w:t>9</w:t>
            </w:r>
          </w:p>
        </w:tc>
      </w:tr>
      <w:tr w:rsidR="00FF2A1C">
        <w:trPr>
          <w:trHeight w:val="239"/>
          <w:jc w:val="center"/>
        </w:trPr>
        <w:tc>
          <w:tcPr>
            <w:tcW w:w="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2</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2021年7月-12月</w:t>
            </w:r>
          </w:p>
        </w:tc>
        <w:tc>
          <w:tcPr>
            <w:tcW w:w="2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rsidP="00F53F19">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54811</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6.</w:t>
            </w:r>
            <w:r w:rsidR="00F53F19">
              <w:rPr>
                <w:rFonts w:ascii="仿宋" w:eastAsia="仿宋" w:hAnsi="仿宋" w:cs="Times New Roman" w:hint="eastAsia"/>
                <w:color w:val="FF0000"/>
              </w:rPr>
              <w:t>9</w:t>
            </w:r>
          </w:p>
        </w:tc>
      </w:tr>
    </w:tbl>
    <w:p w:rsidR="00FF2A1C" w:rsidRDefault="00236B06">
      <w:pPr>
        <w:pStyle w:val="a7"/>
        <w:spacing w:before="0" w:beforeAutospacing="0" w:after="0" w:afterAutospacing="0" w:line="600" w:lineRule="exact"/>
        <w:ind w:firstLineChars="200" w:firstLine="300"/>
        <w:jc w:val="both"/>
        <w:rPr>
          <w:rFonts w:ascii="微软雅黑" w:eastAsia="微软雅黑" w:hAnsi="微软雅黑"/>
          <w:color w:val="404040"/>
          <w:sz w:val="15"/>
          <w:szCs w:val="15"/>
        </w:rPr>
      </w:pPr>
      <w:r>
        <w:rPr>
          <w:rFonts w:ascii="微软雅黑" w:eastAsia="微软雅黑" w:hAnsi="微软雅黑" w:hint="eastAsia"/>
          <w:color w:val="404040"/>
          <w:sz w:val="15"/>
          <w:szCs w:val="15"/>
        </w:rPr>
        <w:t> </w:t>
      </w:r>
    </w:p>
    <w:p w:rsidR="00FF2A1C" w:rsidRDefault="00236B06">
      <w:pPr>
        <w:pStyle w:val="1"/>
        <w:keepNext/>
        <w:snapToGrid w:val="0"/>
        <w:spacing w:before="0" w:beforeAutospacing="0" w:after="0" w:afterAutospacing="0" w:line="600" w:lineRule="exact"/>
        <w:ind w:firstLineChars="200" w:firstLine="602"/>
        <w:jc w:val="center"/>
        <w:rPr>
          <w:rFonts w:ascii="微软雅黑" w:eastAsia="微软雅黑" w:hAnsi="微软雅黑"/>
          <w:color w:val="404040"/>
          <w:sz w:val="17"/>
          <w:szCs w:val="17"/>
        </w:rPr>
      </w:pPr>
      <w:bookmarkStart w:id="9" w:name="_Toc481079995"/>
      <w:r>
        <w:rPr>
          <w:rStyle w:val="a8"/>
          <w:rFonts w:hint="eastAsia"/>
          <w:b/>
          <w:bCs/>
          <w:color w:val="000000"/>
          <w:sz w:val="30"/>
          <w:szCs w:val="30"/>
        </w:rPr>
        <w:lastRenderedPageBreak/>
        <w:t>第三章　财务会计报告</w:t>
      </w:r>
      <w:bookmarkEnd w:id="9"/>
    </w:p>
    <w:p w:rsidR="00FF2A1C" w:rsidRDefault="00236B06">
      <w:pPr>
        <w:pStyle w:val="2"/>
        <w:spacing w:before="0" w:after="0" w:line="600" w:lineRule="exact"/>
        <w:ind w:firstLineChars="200" w:firstLine="602"/>
        <w:jc w:val="both"/>
        <w:rPr>
          <w:rFonts w:ascii="仿宋" w:eastAsia="仿宋" w:hAnsi="仿宋"/>
          <w:color w:val="404040"/>
          <w:sz w:val="30"/>
          <w:szCs w:val="30"/>
        </w:rPr>
      </w:pPr>
      <w:r>
        <w:rPr>
          <w:rStyle w:val="a8"/>
          <w:rFonts w:ascii="Arial" w:eastAsia="仿宋" w:hAnsi="Arial" w:cs="Arial"/>
          <w:b/>
          <w:bCs/>
          <w:color w:val="404040"/>
          <w:sz w:val="30"/>
          <w:szCs w:val="30"/>
        </w:rPr>
        <w:t>   </w:t>
      </w:r>
      <w:r>
        <w:rPr>
          <w:rStyle w:val="apple-converted-space"/>
          <w:rFonts w:ascii="Arial" w:eastAsia="仿宋" w:hAnsi="Arial" w:cs="Arial"/>
          <w:color w:val="404040"/>
          <w:sz w:val="30"/>
          <w:szCs w:val="30"/>
        </w:rPr>
        <w:t> </w:t>
      </w:r>
      <w:bookmarkStart w:id="10" w:name="_Toc481079996"/>
      <w:r>
        <w:rPr>
          <w:rStyle w:val="a8"/>
          <w:rFonts w:ascii="仿宋" w:eastAsia="仿宋" w:hAnsi="仿宋" w:cs="Arial" w:hint="eastAsia"/>
          <w:b/>
          <w:bCs/>
          <w:color w:val="000000"/>
          <w:sz w:val="30"/>
          <w:szCs w:val="30"/>
        </w:rPr>
        <w:t>一、</w:t>
      </w:r>
      <w:bookmarkEnd w:id="10"/>
      <w:r>
        <w:rPr>
          <w:rStyle w:val="a8"/>
          <w:rFonts w:ascii="仿宋" w:eastAsia="仿宋" w:hAnsi="仿宋" w:cs="Arial" w:hint="eastAsia"/>
          <w:b/>
          <w:bCs/>
          <w:color w:val="000000"/>
          <w:sz w:val="30"/>
          <w:szCs w:val="30"/>
        </w:rPr>
        <w:t>会计报表</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bookmarkStart w:id="11" w:name="_Toc481079997"/>
      <w:r>
        <w:rPr>
          <w:rFonts w:ascii="仿宋" w:eastAsia="仿宋" w:hAnsi="仿宋" w:cs="Times New Roman" w:hint="eastAsia"/>
          <w:color w:val="000000"/>
          <w:sz w:val="30"/>
          <w:szCs w:val="30"/>
        </w:rPr>
        <w:t>（一）资产负债表</w:t>
      </w:r>
      <w:bookmarkEnd w:id="11"/>
    </w:p>
    <w:p w:rsidR="00FF2A1C" w:rsidRDefault="00236B06">
      <w:pPr>
        <w:pStyle w:val="a7"/>
        <w:spacing w:before="0" w:beforeAutospacing="0" w:after="0" w:afterAutospacing="0" w:line="600" w:lineRule="exact"/>
        <w:ind w:firstLineChars="200" w:firstLine="602"/>
        <w:jc w:val="center"/>
        <w:rPr>
          <w:rStyle w:val="a8"/>
          <w:rFonts w:ascii="仿宋" w:eastAsia="仿宋" w:hAnsi="仿宋" w:cs="Times New Roman"/>
          <w:color w:val="000000"/>
          <w:sz w:val="30"/>
          <w:szCs w:val="30"/>
        </w:rPr>
      </w:pPr>
      <w:r>
        <w:rPr>
          <w:rStyle w:val="a8"/>
          <w:rFonts w:ascii="仿宋" w:eastAsia="仿宋" w:hAnsi="仿宋" w:cs="Times New Roman" w:hint="eastAsia"/>
          <w:color w:val="000000"/>
          <w:sz w:val="30"/>
          <w:szCs w:val="30"/>
        </w:rPr>
        <w:t>临猗新田村镇银行资产负债表</w:t>
      </w:r>
    </w:p>
    <w:p w:rsidR="00FF2A1C" w:rsidRDefault="00236B06">
      <w:pPr>
        <w:pStyle w:val="a7"/>
        <w:spacing w:before="0" w:beforeAutospacing="0" w:after="0" w:afterAutospacing="0" w:line="600" w:lineRule="exact"/>
        <w:rPr>
          <w:rFonts w:ascii="仿宋" w:eastAsia="仿宋" w:hAnsi="仿宋"/>
          <w:color w:val="404040"/>
        </w:rPr>
      </w:pPr>
      <w:r>
        <w:rPr>
          <w:rFonts w:ascii="仿宋" w:eastAsia="仿宋" w:hAnsi="仿宋" w:cs="Times New Roman" w:hint="eastAsia"/>
          <w:color w:val="000000"/>
          <w:sz w:val="30"/>
          <w:szCs w:val="30"/>
        </w:rPr>
        <w:t>编制单位：临猗新田村镇银行日期：2021年12月31日</w:t>
      </w:r>
      <w:r>
        <w:rPr>
          <w:rFonts w:eastAsia="仿宋" w:cs="Times New Roman" w:hint="eastAsia"/>
          <w:color w:val="000000"/>
          <w:sz w:val="30"/>
          <w:szCs w:val="30"/>
        </w:rPr>
        <w:t>   </w:t>
      </w:r>
      <w:r>
        <w:rPr>
          <w:rFonts w:ascii="仿宋" w:eastAsia="仿宋" w:hAnsi="仿宋" w:cs="Times New Roman" w:hint="eastAsia"/>
          <w:color w:val="000000"/>
          <w:sz w:val="30"/>
          <w:szCs w:val="30"/>
        </w:rPr>
        <w:t>单位：元</w:t>
      </w:r>
    </w:p>
    <w:tbl>
      <w:tblPr>
        <w:tblW w:w="9965" w:type="dxa"/>
        <w:tblInd w:w="-269" w:type="dxa"/>
        <w:tblLayout w:type="fixed"/>
        <w:tblCellMar>
          <w:left w:w="0" w:type="dxa"/>
          <w:right w:w="0" w:type="dxa"/>
        </w:tblCellMar>
        <w:tblLook w:val="04A0"/>
      </w:tblPr>
      <w:tblGrid>
        <w:gridCol w:w="1085"/>
        <w:gridCol w:w="169"/>
        <w:gridCol w:w="506"/>
        <w:gridCol w:w="1485"/>
        <w:gridCol w:w="1132"/>
        <w:gridCol w:w="503"/>
        <w:gridCol w:w="1074"/>
        <w:gridCol w:w="640"/>
        <w:gridCol w:w="211"/>
        <w:gridCol w:w="278"/>
        <w:gridCol w:w="1382"/>
        <w:gridCol w:w="169"/>
        <w:gridCol w:w="1331"/>
      </w:tblGrid>
      <w:tr w:rsidR="00FF2A1C">
        <w:trPr>
          <w:cantSplit/>
          <w:trHeight w:val="283"/>
        </w:trPr>
        <w:tc>
          <w:tcPr>
            <w:tcW w:w="10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bookmarkStart w:id="12" w:name="_Toc481079999"/>
            <w:r>
              <w:rPr>
                <w:rFonts w:ascii="仿宋" w:eastAsia="仿宋" w:hAnsi="仿宋" w:cs="Arial"/>
                <w:b/>
                <w:bCs/>
                <w:color w:val="FF0000"/>
                <w:sz w:val="24"/>
                <w:szCs w:val="24"/>
              </w:rPr>
              <w:t>资产</w:t>
            </w:r>
          </w:p>
        </w:tc>
        <w:tc>
          <w:tcPr>
            <w:tcW w:w="67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行次</w:t>
            </w:r>
          </w:p>
        </w:tc>
        <w:tc>
          <w:tcPr>
            <w:tcW w:w="14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期初数</w:t>
            </w:r>
          </w:p>
        </w:tc>
        <w:tc>
          <w:tcPr>
            <w:tcW w:w="163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期末数</w:t>
            </w:r>
          </w:p>
        </w:tc>
        <w:tc>
          <w:tcPr>
            <w:tcW w:w="10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负债及所有者权益合计</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行次</w:t>
            </w:r>
          </w:p>
        </w:tc>
        <w:tc>
          <w:tcPr>
            <w:tcW w:w="16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期初数</w:t>
            </w:r>
          </w:p>
        </w:tc>
        <w:tc>
          <w:tcPr>
            <w:tcW w:w="15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期末数</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现金及存放中央银行款项</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2669701</w:t>
            </w:r>
            <w:r w:rsidR="00F53F19">
              <w:rPr>
                <w:rFonts w:ascii="仿宋" w:eastAsia="仿宋" w:hAnsi="仿宋" w:cs="Arial" w:hint="eastAsia"/>
                <w:color w:val="FF0000"/>
                <w:sz w:val="24"/>
                <w:szCs w:val="24"/>
              </w:rPr>
              <w:t>1</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4063617</w:t>
            </w:r>
            <w:r w:rsidR="00F53F19">
              <w:rPr>
                <w:rFonts w:ascii="仿宋" w:eastAsia="仿宋" w:hAnsi="仿宋" w:cs="Arial" w:hint="eastAsia"/>
                <w:color w:val="FF0000"/>
                <w:sz w:val="24"/>
                <w:szCs w:val="24"/>
              </w:rPr>
              <w:t>7</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向中央银行借款</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26</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94250000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90777800</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存放同业款项</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237399877</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337796800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同业及其他金融机构存放款项</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27</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银行存款</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拆入资金</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28</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cantSplit/>
          <w:trHeight w:val="372"/>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同业借出款</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交易性金融负债</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29</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FF2A1C">
            <w:pPr>
              <w:jc w:val="center"/>
              <w:rPr>
                <w:rFonts w:ascii="仿宋" w:eastAsia="仿宋" w:hAnsi="仿宋" w:cs="Arial"/>
                <w:color w:val="000000"/>
                <w:sz w:val="24"/>
                <w:szCs w:val="24"/>
              </w:rPr>
            </w:pP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贵金属</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5</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衍生金融负债</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30</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FF2A1C">
            <w:pPr>
              <w:jc w:val="center"/>
              <w:rPr>
                <w:rFonts w:ascii="仿宋" w:eastAsia="仿宋" w:hAnsi="仿宋" w:cs="Arial"/>
                <w:color w:val="000000"/>
                <w:sz w:val="24"/>
                <w:szCs w:val="24"/>
              </w:rPr>
            </w:pP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拆出资金</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6</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卖出回购金融资产款</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31</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FF2A1C">
            <w:pPr>
              <w:jc w:val="center"/>
              <w:rPr>
                <w:rFonts w:ascii="仿宋" w:eastAsia="仿宋" w:hAnsi="仿宋" w:cs="Arial"/>
                <w:color w:val="000000"/>
                <w:sz w:val="24"/>
                <w:szCs w:val="24"/>
              </w:rPr>
            </w:pP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交易性金融资产</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7</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吸收存款</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32</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4003575</w:t>
            </w:r>
            <w:r w:rsidR="00F53F19">
              <w:rPr>
                <w:rFonts w:ascii="仿宋" w:eastAsia="仿宋" w:hAnsi="仿宋" w:cs="Arial" w:hint="eastAsia"/>
                <w:color w:val="FF0000"/>
                <w:sz w:val="24"/>
                <w:szCs w:val="24"/>
              </w:rPr>
              <w:t>20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59327291</w:t>
            </w:r>
            <w:r w:rsidR="00F53F19">
              <w:rPr>
                <w:rFonts w:ascii="仿宋" w:eastAsia="仿宋" w:hAnsi="仿宋" w:cs="Arial" w:hint="eastAsia"/>
                <w:color w:val="FF0000"/>
                <w:sz w:val="24"/>
                <w:szCs w:val="24"/>
              </w:rPr>
              <w:t>9</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衍生金融资产</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8</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应付利息</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33</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770626</w:t>
            </w:r>
            <w:r w:rsidR="00F53F19">
              <w:rPr>
                <w:rFonts w:ascii="仿宋" w:eastAsia="仿宋" w:hAnsi="仿宋" w:cs="Arial" w:hint="eastAsia"/>
                <w:color w:val="FF0000"/>
                <w:sz w:val="24"/>
                <w:szCs w:val="24"/>
              </w:rPr>
              <w:t>2</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13271955</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买入返售金融资产</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9</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应付职工薪酬</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34</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1147894</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1503060</w:t>
            </w:r>
          </w:p>
        </w:tc>
      </w:tr>
      <w:tr w:rsidR="00FF2A1C">
        <w:trPr>
          <w:cantSplit/>
          <w:trHeight w:val="283"/>
        </w:trPr>
        <w:tc>
          <w:tcPr>
            <w:tcW w:w="10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lastRenderedPageBreak/>
              <w:t>发放贷款和垫款</w:t>
            </w:r>
          </w:p>
        </w:tc>
        <w:tc>
          <w:tcPr>
            <w:tcW w:w="67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10</w:t>
            </w:r>
          </w:p>
        </w:tc>
        <w:tc>
          <w:tcPr>
            <w:tcW w:w="14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29985313</w:t>
            </w:r>
            <w:r w:rsidR="00F53F19">
              <w:rPr>
                <w:rFonts w:ascii="仿宋" w:eastAsia="仿宋" w:hAnsi="仿宋" w:cs="Arial" w:hint="eastAsia"/>
                <w:color w:val="FF0000"/>
                <w:sz w:val="24"/>
                <w:szCs w:val="24"/>
              </w:rPr>
              <w:t>2</w:t>
            </w:r>
          </w:p>
        </w:tc>
        <w:tc>
          <w:tcPr>
            <w:tcW w:w="163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382534663</w:t>
            </w:r>
          </w:p>
        </w:tc>
        <w:tc>
          <w:tcPr>
            <w:tcW w:w="10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应交税费</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35</w:t>
            </w:r>
          </w:p>
        </w:tc>
        <w:tc>
          <w:tcPr>
            <w:tcW w:w="16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20409</w:t>
            </w:r>
            <w:r w:rsidR="00F53F19">
              <w:rPr>
                <w:rFonts w:ascii="仿宋" w:eastAsia="仿宋" w:hAnsi="仿宋" w:cs="Arial" w:hint="eastAsia"/>
                <w:color w:val="FF0000"/>
                <w:sz w:val="24"/>
                <w:szCs w:val="24"/>
              </w:rPr>
              <w:t>5</w:t>
            </w:r>
          </w:p>
        </w:tc>
        <w:tc>
          <w:tcPr>
            <w:tcW w:w="15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80010</w:t>
            </w:r>
          </w:p>
        </w:tc>
      </w:tr>
      <w:tr w:rsidR="00FF2A1C">
        <w:trPr>
          <w:cantSplit/>
          <w:trHeight w:val="283"/>
        </w:trPr>
        <w:tc>
          <w:tcPr>
            <w:tcW w:w="10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应收利息</w:t>
            </w:r>
          </w:p>
        </w:tc>
        <w:tc>
          <w:tcPr>
            <w:tcW w:w="67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11</w:t>
            </w:r>
          </w:p>
        </w:tc>
        <w:tc>
          <w:tcPr>
            <w:tcW w:w="14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15669</w:t>
            </w:r>
          </w:p>
        </w:tc>
        <w:tc>
          <w:tcPr>
            <w:tcW w:w="163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81246</w:t>
            </w:r>
          </w:p>
        </w:tc>
        <w:tc>
          <w:tcPr>
            <w:tcW w:w="10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预计负债</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36</w:t>
            </w:r>
          </w:p>
        </w:tc>
        <w:tc>
          <w:tcPr>
            <w:tcW w:w="16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5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可供出售金融资产</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12</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应付债券</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37</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持有至到期投资</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13</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递延所得税负债</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38</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应收款项投资</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14</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其他负债</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39</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478043</w:t>
            </w:r>
            <w:r w:rsidR="00F53F19">
              <w:rPr>
                <w:rFonts w:ascii="仿宋" w:eastAsia="仿宋" w:hAnsi="仿宋" w:cs="Arial" w:hint="eastAsia"/>
                <w:color w:val="FF0000"/>
                <w:sz w:val="24"/>
                <w:szCs w:val="24"/>
              </w:rPr>
              <w:t>7</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4336151</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长期股权投资</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15</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负债总计</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40</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508446207</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703241895</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投资性房地产</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16</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股东权益:</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41</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固定资产</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17</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1365242</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163257</w:t>
            </w:r>
            <w:r w:rsidR="00F53F19">
              <w:rPr>
                <w:rFonts w:ascii="仿宋" w:eastAsia="仿宋" w:hAnsi="仿宋" w:cs="Arial" w:hint="eastAsia"/>
                <w:color w:val="FF0000"/>
                <w:sz w:val="24"/>
                <w:szCs w:val="24"/>
              </w:rPr>
              <w:t>3</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股本</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42</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60000000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60000000</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无形资产</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18</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FF2A1C">
            <w:pPr>
              <w:jc w:val="center"/>
              <w:rPr>
                <w:rFonts w:ascii="仿宋" w:eastAsia="仿宋" w:hAnsi="仿宋" w:cs="Arial"/>
                <w:color w:val="000000"/>
                <w:sz w:val="24"/>
                <w:szCs w:val="24"/>
              </w:rPr>
            </w:pP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资本公积</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43</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递延所得税资产</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19</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FF2A1C">
            <w:pPr>
              <w:jc w:val="center"/>
              <w:rPr>
                <w:rFonts w:ascii="仿宋" w:eastAsia="仿宋" w:hAnsi="仿宋" w:cs="Arial"/>
                <w:color w:val="000000"/>
                <w:sz w:val="24"/>
                <w:szCs w:val="24"/>
              </w:rPr>
            </w:pP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减：库存股</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44</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其他资产</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20</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1026395</w:t>
            </w:r>
            <w:r w:rsidR="00F53F19">
              <w:rPr>
                <w:rFonts w:ascii="仿宋" w:eastAsia="仿宋" w:hAnsi="仿宋" w:cs="Arial" w:hint="eastAsia"/>
                <w:color w:val="FF0000"/>
                <w:sz w:val="24"/>
                <w:szCs w:val="24"/>
              </w:rPr>
              <w:t>7</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1062000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盈余公积</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45</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900192</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142348</w:t>
            </w:r>
            <w:r w:rsidR="00F53F19">
              <w:rPr>
                <w:rFonts w:ascii="仿宋" w:eastAsia="仿宋" w:hAnsi="仿宋" w:cs="Arial" w:hint="eastAsia"/>
                <w:color w:val="FF0000"/>
                <w:sz w:val="24"/>
                <w:szCs w:val="24"/>
              </w:rPr>
              <w:t>2</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存放同业减值准备</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21</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-718,12</w:t>
            </w:r>
            <w:r w:rsidR="00F53F19">
              <w:rPr>
                <w:rFonts w:ascii="仿宋" w:eastAsia="仿宋" w:hAnsi="仿宋" w:cs="Arial" w:hint="eastAsia"/>
                <w:color w:val="FF0000"/>
                <w:sz w:val="24"/>
                <w:szCs w:val="24"/>
              </w:rPr>
              <w:t>3</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-106812</w:t>
            </w:r>
            <w:r w:rsidR="00F53F19">
              <w:rPr>
                <w:rFonts w:ascii="仿宋" w:eastAsia="仿宋" w:hAnsi="仿宋" w:cs="Arial" w:hint="eastAsia"/>
                <w:color w:val="FF0000"/>
                <w:sz w:val="24"/>
                <w:szCs w:val="24"/>
              </w:rPr>
              <w:t>3</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一般风险准备</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46</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1545792</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206908</w:t>
            </w:r>
            <w:r w:rsidR="00F53F19">
              <w:rPr>
                <w:rFonts w:ascii="仿宋" w:eastAsia="仿宋" w:hAnsi="仿宋" w:cs="Arial" w:hint="eastAsia"/>
                <w:color w:val="FF0000"/>
                <w:sz w:val="24"/>
                <w:szCs w:val="24"/>
              </w:rPr>
              <w:t>2</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存放系统内款项</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22</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未分配利润</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47</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398457</w:t>
            </w:r>
            <w:r w:rsidR="00F53F19">
              <w:rPr>
                <w:rFonts w:ascii="仿宋" w:eastAsia="仿宋" w:hAnsi="仿宋" w:cs="Arial" w:hint="eastAsia"/>
                <w:color w:val="FF0000"/>
                <w:sz w:val="24"/>
                <w:szCs w:val="24"/>
              </w:rPr>
              <w:t>3</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5498886</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FF2A1C">
            <w:pPr>
              <w:jc w:val="center"/>
              <w:rPr>
                <w:rFonts w:ascii="仿宋" w:eastAsia="仿宋" w:hAnsi="仿宋" w:cs="Arial"/>
                <w:color w:val="000000"/>
                <w:sz w:val="24"/>
                <w:szCs w:val="24"/>
              </w:rPr>
            </w:pP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23</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FF2A1C">
            <w:pPr>
              <w:jc w:val="center"/>
              <w:rPr>
                <w:rFonts w:ascii="仿宋" w:eastAsia="仿宋" w:hAnsi="仿宋" w:cs="Arial"/>
                <w:color w:val="000000"/>
                <w:sz w:val="24"/>
                <w:szCs w:val="24"/>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48</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FF2A1C">
            <w:pPr>
              <w:jc w:val="center"/>
              <w:rPr>
                <w:rFonts w:ascii="仿宋" w:eastAsia="仿宋" w:hAnsi="仿宋" w:cs="Arial"/>
                <w:color w:val="000000"/>
                <w:sz w:val="24"/>
                <w:szCs w:val="24"/>
              </w:rPr>
            </w:pP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24</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0.00</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股东权益合计</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49</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6643055</w:t>
            </w:r>
            <w:r w:rsidR="00F53F19">
              <w:rPr>
                <w:rFonts w:ascii="仿宋" w:eastAsia="仿宋" w:hAnsi="仿宋" w:cs="Arial" w:hint="eastAsia"/>
                <w:color w:val="FF0000"/>
                <w:sz w:val="24"/>
                <w:szCs w:val="24"/>
              </w:rPr>
              <w:t>8</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689914</w:t>
            </w:r>
            <w:r w:rsidR="00F53F19">
              <w:rPr>
                <w:rFonts w:ascii="仿宋" w:eastAsia="仿宋" w:hAnsi="仿宋" w:cs="Arial" w:hint="eastAsia"/>
                <w:color w:val="FF0000"/>
                <w:sz w:val="24"/>
                <w:szCs w:val="24"/>
              </w:rPr>
              <w:t>50</w:t>
            </w:r>
          </w:p>
        </w:tc>
      </w:tr>
      <w:tr w:rsidR="00FF2A1C">
        <w:trPr>
          <w:cantSplit/>
          <w:trHeight w:val="283"/>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资产总计</w:t>
            </w:r>
          </w:p>
        </w:tc>
        <w:tc>
          <w:tcPr>
            <w:tcW w:w="6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25</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574876765</w:t>
            </w:r>
          </w:p>
        </w:tc>
        <w:tc>
          <w:tcPr>
            <w:tcW w:w="16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772233345</w:t>
            </w:r>
          </w:p>
        </w:tc>
        <w:tc>
          <w:tcPr>
            <w:tcW w:w="1074"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负债及所有者权益合计</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50</w:t>
            </w:r>
          </w:p>
        </w:tc>
        <w:tc>
          <w:tcPr>
            <w:tcW w:w="16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574876765</w:t>
            </w:r>
          </w:p>
        </w:tc>
        <w:tc>
          <w:tcPr>
            <w:tcW w:w="1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772233345</w:t>
            </w:r>
          </w:p>
        </w:tc>
      </w:tr>
      <w:tr w:rsidR="00FF2A1C">
        <w:trPr>
          <w:cantSplit/>
          <w:trHeight w:val="283"/>
        </w:trPr>
        <w:tc>
          <w:tcPr>
            <w:tcW w:w="9965"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FF2A1C">
            <w:pPr>
              <w:pStyle w:val="a7"/>
              <w:spacing w:before="0" w:beforeAutospacing="0" w:after="0" w:afterAutospacing="0"/>
              <w:jc w:val="center"/>
              <w:rPr>
                <w:rStyle w:val="a8"/>
                <w:rFonts w:ascii="仿宋" w:eastAsia="仿宋" w:hAnsi="仿宋" w:cs="Times New Roman"/>
                <w:color w:val="FF0000"/>
              </w:rPr>
            </w:pPr>
          </w:p>
          <w:p w:rsidR="00FF2A1C" w:rsidRDefault="00FF2A1C">
            <w:pPr>
              <w:pStyle w:val="a7"/>
              <w:spacing w:before="0" w:beforeAutospacing="0" w:after="0" w:afterAutospacing="0"/>
              <w:jc w:val="center"/>
              <w:rPr>
                <w:rStyle w:val="a8"/>
                <w:rFonts w:ascii="仿宋" w:eastAsia="仿宋" w:hAnsi="仿宋" w:cs="Times New Roman"/>
                <w:color w:val="FF0000"/>
              </w:rPr>
            </w:pPr>
            <w:bookmarkStart w:id="13" w:name="_GoBack"/>
            <w:bookmarkEnd w:id="13"/>
          </w:p>
          <w:p w:rsidR="00FF2A1C" w:rsidRDefault="00FF2A1C">
            <w:pPr>
              <w:pStyle w:val="a7"/>
              <w:spacing w:before="0" w:beforeAutospacing="0" w:after="0" w:afterAutospacing="0"/>
              <w:jc w:val="center"/>
              <w:rPr>
                <w:rStyle w:val="a8"/>
                <w:rFonts w:ascii="仿宋" w:eastAsia="仿宋" w:hAnsi="仿宋" w:cs="Times New Roman"/>
                <w:color w:val="FF0000"/>
              </w:rPr>
            </w:pPr>
          </w:p>
          <w:p w:rsidR="00FF2A1C" w:rsidRDefault="00236B06">
            <w:pPr>
              <w:pStyle w:val="a7"/>
              <w:spacing w:before="0" w:beforeAutospacing="0" w:after="0" w:afterAutospacing="0"/>
              <w:jc w:val="center"/>
              <w:rPr>
                <w:rStyle w:val="a8"/>
                <w:rFonts w:ascii="仿宋" w:eastAsia="仿宋" w:hAnsi="仿宋" w:cs="Times New Roman"/>
                <w:color w:val="FF0000"/>
              </w:rPr>
            </w:pPr>
            <w:r>
              <w:rPr>
                <w:rStyle w:val="a8"/>
                <w:rFonts w:ascii="仿宋" w:eastAsia="仿宋" w:hAnsi="仿宋" w:cs="Times New Roman" w:hint="eastAsia"/>
                <w:color w:val="FF0000"/>
              </w:rPr>
              <w:t>临猗新田村镇银行利润表</w:t>
            </w:r>
          </w:p>
          <w:p w:rsidR="00FF2A1C" w:rsidRDefault="00FF2A1C">
            <w:pPr>
              <w:pStyle w:val="a7"/>
              <w:spacing w:before="0" w:beforeAutospacing="0" w:after="0" w:afterAutospacing="0"/>
              <w:jc w:val="center"/>
              <w:rPr>
                <w:rStyle w:val="a8"/>
                <w:rFonts w:ascii="仿宋" w:eastAsia="仿宋" w:hAnsi="仿宋" w:cs="Times New Roman"/>
                <w:color w:val="FF0000"/>
              </w:rPr>
            </w:pPr>
          </w:p>
          <w:p w:rsidR="00FF2A1C" w:rsidRDefault="00236B06">
            <w:pPr>
              <w:pStyle w:val="a7"/>
              <w:spacing w:before="0" w:beforeAutospacing="0" w:after="0" w:afterAutospacing="0"/>
              <w:rPr>
                <w:rFonts w:ascii="仿宋" w:eastAsia="仿宋" w:hAnsi="仿宋" w:cs="Arial"/>
                <w:color w:val="000000"/>
              </w:rPr>
            </w:pPr>
            <w:r>
              <w:rPr>
                <w:rFonts w:ascii="仿宋" w:eastAsia="仿宋" w:hAnsi="仿宋" w:cs="Times New Roman" w:hint="eastAsia"/>
                <w:color w:val="FF0000"/>
              </w:rPr>
              <w:t>编制单位：临猗新田村镇银行</w:t>
            </w:r>
            <w:r>
              <w:rPr>
                <w:rFonts w:eastAsia="仿宋" w:cs="Times New Roman" w:hint="eastAsia"/>
                <w:color w:val="FF0000"/>
              </w:rPr>
              <w:t>   </w:t>
            </w:r>
            <w:r>
              <w:rPr>
                <w:rFonts w:ascii="仿宋" w:eastAsia="仿宋" w:hAnsi="仿宋" w:cs="Times New Roman" w:hint="eastAsia"/>
                <w:color w:val="FF0000"/>
              </w:rPr>
              <w:t>日期：2021年12月31日</w:t>
            </w:r>
            <w:r>
              <w:rPr>
                <w:rFonts w:eastAsia="仿宋" w:cs="Times New Roman" w:hint="eastAsia"/>
                <w:color w:val="FF0000"/>
              </w:rPr>
              <w:t>   </w:t>
            </w:r>
            <w:r>
              <w:rPr>
                <w:rFonts w:ascii="仿宋" w:eastAsia="仿宋" w:hAnsi="仿宋" w:cs="Times New Roman" w:hint="eastAsia"/>
                <w:color w:val="FF0000"/>
              </w:rPr>
              <w:t xml:space="preserve"> 单位：元</w:t>
            </w:r>
          </w:p>
        </w:tc>
      </w:tr>
      <w:bookmarkEnd w:id="12"/>
      <w:tr w:rsidR="00FF2A1C">
        <w:trPr>
          <w:trHeight w:val="525"/>
        </w:trPr>
        <w:tc>
          <w:tcPr>
            <w:tcW w:w="125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b/>
                <w:bCs/>
                <w:color w:val="000000"/>
                <w:sz w:val="24"/>
                <w:szCs w:val="24"/>
              </w:rPr>
            </w:pPr>
            <w:r>
              <w:rPr>
                <w:rFonts w:ascii="仿宋" w:eastAsia="仿宋" w:hAnsi="仿宋" w:cs="Arial"/>
                <w:b/>
                <w:bCs/>
                <w:color w:val="FF0000"/>
                <w:sz w:val="24"/>
                <w:szCs w:val="24"/>
              </w:rPr>
              <w:t>项目</w:t>
            </w:r>
          </w:p>
        </w:tc>
        <w:tc>
          <w:tcPr>
            <w:tcW w:w="5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行次</w:t>
            </w:r>
          </w:p>
        </w:tc>
        <w:tc>
          <w:tcPr>
            <w:tcW w:w="14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上期数</w:t>
            </w:r>
          </w:p>
        </w:tc>
        <w:tc>
          <w:tcPr>
            <w:tcW w:w="11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ind w:firstLineChars="52" w:firstLine="125"/>
              <w:jc w:val="center"/>
            </w:pPr>
            <w:r>
              <w:rPr>
                <w:rFonts w:ascii="仿宋" w:eastAsia="仿宋" w:hAnsi="仿宋" w:cs="Arial"/>
                <w:b/>
                <w:bCs/>
                <w:color w:val="FF0000"/>
                <w:sz w:val="24"/>
                <w:szCs w:val="24"/>
              </w:rPr>
              <w:t>本期数</w:t>
            </w:r>
          </w:p>
        </w:tc>
        <w:tc>
          <w:tcPr>
            <w:tcW w:w="221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b/>
                <w:bCs/>
                <w:color w:val="000000"/>
                <w:sz w:val="24"/>
                <w:szCs w:val="24"/>
              </w:rPr>
            </w:pPr>
            <w:r>
              <w:rPr>
                <w:rFonts w:ascii="仿宋" w:eastAsia="仿宋" w:hAnsi="仿宋" w:cs="Arial"/>
                <w:b/>
                <w:bCs/>
                <w:color w:val="FF0000"/>
                <w:sz w:val="24"/>
                <w:szCs w:val="24"/>
              </w:rPr>
              <w:t>项目</w:t>
            </w:r>
          </w:p>
        </w:tc>
        <w:tc>
          <w:tcPr>
            <w:tcW w:w="48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行次</w:t>
            </w:r>
          </w:p>
        </w:tc>
        <w:tc>
          <w:tcPr>
            <w:tcW w:w="15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上期数</w:t>
            </w:r>
          </w:p>
        </w:tc>
        <w:tc>
          <w:tcPr>
            <w:tcW w:w="13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b/>
                <w:bCs/>
                <w:color w:val="000000"/>
                <w:sz w:val="24"/>
                <w:szCs w:val="24"/>
              </w:rPr>
            </w:pPr>
            <w:r>
              <w:rPr>
                <w:rFonts w:ascii="仿宋" w:eastAsia="仿宋" w:hAnsi="仿宋" w:cs="Arial"/>
                <w:b/>
                <w:bCs/>
                <w:color w:val="FF0000"/>
                <w:sz w:val="24"/>
                <w:szCs w:val="24"/>
              </w:rPr>
              <w:t>本期数</w:t>
            </w:r>
          </w:p>
        </w:tc>
      </w:tr>
      <w:tr w:rsidR="00FF2A1C">
        <w:trPr>
          <w:trHeight w:val="525"/>
        </w:trPr>
        <w:tc>
          <w:tcPr>
            <w:tcW w:w="125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一、营业收入</w:t>
            </w:r>
          </w:p>
        </w:tc>
        <w:tc>
          <w:tcPr>
            <w:tcW w:w="5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w:t>
            </w:r>
          </w:p>
        </w:tc>
        <w:tc>
          <w:tcPr>
            <w:tcW w:w="14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2096042</w:t>
            </w:r>
            <w:r w:rsidR="005A31FF">
              <w:rPr>
                <w:rFonts w:ascii="仿宋" w:eastAsia="仿宋" w:hAnsi="仿宋" w:cs="Arial" w:hint="eastAsia"/>
                <w:color w:val="FF0000"/>
                <w:sz w:val="24"/>
                <w:szCs w:val="24"/>
              </w:rPr>
              <w:t>9</w:t>
            </w:r>
          </w:p>
        </w:tc>
        <w:tc>
          <w:tcPr>
            <w:tcW w:w="11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266509</w:t>
            </w:r>
            <w:r w:rsidR="005A31FF">
              <w:rPr>
                <w:rFonts w:ascii="仿宋" w:eastAsia="仿宋" w:hAnsi="仿宋" w:cs="Arial" w:hint="eastAsia"/>
                <w:color w:val="FF0000"/>
                <w:sz w:val="24"/>
                <w:szCs w:val="24"/>
              </w:rPr>
              <w:t>90</w:t>
            </w:r>
          </w:p>
        </w:tc>
        <w:tc>
          <w:tcPr>
            <w:tcW w:w="221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二、营业支出</w:t>
            </w:r>
          </w:p>
        </w:tc>
        <w:tc>
          <w:tcPr>
            <w:tcW w:w="48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15</w:t>
            </w:r>
          </w:p>
        </w:tc>
        <w:tc>
          <w:tcPr>
            <w:tcW w:w="15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1808082</w:t>
            </w:r>
            <w:r w:rsidR="005A31FF">
              <w:rPr>
                <w:rFonts w:ascii="仿宋" w:eastAsia="仿宋" w:hAnsi="仿宋" w:cs="Arial" w:hint="eastAsia"/>
                <w:color w:val="FF0000"/>
                <w:sz w:val="24"/>
                <w:szCs w:val="24"/>
              </w:rPr>
              <w:t>3</w:t>
            </w:r>
          </w:p>
        </w:tc>
        <w:tc>
          <w:tcPr>
            <w:tcW w:w="13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rsidP="005A31FF">
            <w:pPr>
              <w:jc w:val="center"/>
              <w:rPr>
                <w:rFonts w:ascii="仿宋" w:eastAsia="仿宋" w:hAnsi="仿宋" w:cs="Arial"/>
                <w:color w:val="000000"/>
                <w:sz w:val="24"/>
                <w:szCs w:val="24"/>
              </w:rPr>
            </w:pPr>
            <w:r>
              <w:rPr>
                <w:rFonts w:ascii="仿宋" w:eastAsia="仿宋" w:hAnsi="仿宋" w:cs="Arial" w:hint="eastAsia"/>
                <w:color w:val="FF0000"/>
                <w:sz w:val="24"/>
                <w:szCs w:val="24"/>
              </w:rPr>
              <w:t>21269962</w:t>
            </w:r>
          </w:p>
        </w:tc>
      </w:tr>
      <w:tr w:rsidR="00FF2A1C">
        <w:trPr>
          <w:trHeight w:val="525"/>
        </w:trPr>
        <w:tc>
          <w:tcPr>
            <w:tcW w:w="125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（一）利息净收入</w:t>
            </w:r>
          </w:p>
        </w:tc>
        <w:tc>
          <w:tcPr>
            <w:tcW w:w="506"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rsidP="005A31FF">
            <w:pPr>
              <w:jc w:val="center"/>
              <w:rPr>
                <w:rFonts w:ascii="仿宋" w:eastAsia="仿宋" w:hAnsi="仿宋" w:cs="Arial"/>
                <w:color w:val="000000"/>
                <w:sz w:val="24"/>
                <w:szCs w:val="24"/>
              </w:rPr>
            </w:pPr>
            <w:r>
              <w:rPr>
                <w:rFonts w:ascii="仿宋" w:eastAsia="仿宋" w:hAnsi="仿宋" w:cs="Arial" w:hint="eastAsia"/>
                <w:color w:val="FF0000"/>
                <w:sz w:val="24"/>
                <w:szCs w:val="24"/>
              </w:rPr>
              <w:t>21723412</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2694486</w:t>
            </w:r>
            <w:r w:rsidR="005A31FF">
              <w:rPr>
                <w:rFonts w:ascii="仿宋" w:eastAsia="仿宋" w:hAnsi="仿宋" w:cs="Arial" w:hint="eastAsia"/>
                <w:color w:val="FF0000"/>
                <w:sz w:val="24"/>
                <w:szCs w:val="24"/>
              </w:rPr>
              <w:t>5</w:t>
            </w:r>
          </w:p>
        </w:tc>
        <w:tc>
          <w:tcPr>
            <w:tcW w:w="221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（一）税金及附加</w:t>
            </w:r>
          </w:p>
        </w:tc>
        <w:tc>
          <w:tcPr>
            <w:tcW w:w="48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16</w:t>
            </w:r>
          </w:p>
        </w:tc>
        <w:tc>
          <w:tcPr>
            <w:tcW w:w="15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w:t>
            </w:r>
            <w:r w:rsidR="005A31FF">
              <w:rPr>
                <w:rFonts w:ascii="仿宋" w:eastAsia="仿宋" w:hAnsi="仿宋" w:cs="Arial" w:hint="eastAsia"/>
                <w:color w:val="FF0000"/>
                <w:sz w:val="24"/>
                <w:szCs w:val="24"/>
              </w:rPr>
              <w:t>10000</w:t>
            </w:r>
          </w:p>
        </w:tc>
        <w:tc>
          <w:tcPr>
            <w:tcW w:w="1331"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rsidP="005A31FF">
            <w:pPr>
              <w:jc w:val="center"/>
              <w:rPr>
                <w:rFonts w:ascii="仿宋" w:eastAsia="仿宋" w:hAnsi="仿宋" w:cs="Arial"/>
                <w:color w:val="000000"/>
                <w:sz w:val="24"/>
                <w:szCs w:val="24"/>
              </w:rPr>
            </w:pPr>
            <w:r>
              <w:rPr>
                <w:rFonts w:ascii="仿宋" w:eastAsia="仿宋" w:hAnsi="仿宋" w:cs="Arial" w:hint="eastAsia"/>
                <w:color w:val="FF0000"/>
                <w:sz w:val="24"/>
                <w:szCs w:val="24"/>
              </w:rPr>
              <w:t>107678</w:t>
            </w:r>
          </w:p>
        </w:tc>
      </w:tr>
      <w:tr w:rsidR="00FF2A1C">
        <w:trPr>
          <w:trHeight w:val="525"/>
        </w:trPr>
        <w:tc>
          <w:tcPr>
            <w:tcW w:w="125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利息收入</w:t>
            </w:r>
          </w:p>
        </w:tc>
        <w:tc>
          <w:tcPr>
            <w:tcW w:w="506"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3</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rsidP="005A31FF">
            <w:pPr>
              <w:jc w:val="center"/>
              <w:rPr>
                <w:rFonts w:ascii="仿宋" w:eastAsia="仿宋" w:hAnsi="仿宋" w:cs="Arial"/>
                <w:color w:val="000000"/>
                <w:sz w:val="24"/>
                <w:szCs w:val="24"/>
              </w:rPr>
            </w:pPr>
            <w:r>
              <w:rPr>
                <w:rFonts w:ascii="仿宋" w:eastAsia="仿宋" w:hAnsi="仿宋" w:cs="Arial" w:hint="eastAsia"/>
                <w:color w:val="FF0000"/>
                <w:sz w:val="24"/>
                <w:szCs w:val="24"/>
              </w:rPr>
              <w:t>29758162</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4021354</w:t>
            </w:r>
            <w:r w:rsidR="005A31FF">
              <w:rPr>
                <w:rFonts w:ascii="仿宋" w:eastAsia="仿宋" w:hAnsi="仿宋" w:cs="Arial" w:hint="eastAsia"/>
                <w:color w:val="FF0000"/>
                <w:sz w:val="24"/>
                <w:szCs w:val="24"/>
              </w:rPr>
              <w:t>2</w:t>
            </w:r>
          </w:p>
        </w:tc>
        <w:tc>
          <w:tcPr>
            <w:tcW w:w="221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（二）业务及管理费</w:t>
            </w:r>
          </w:p>
        </w:tc>
        <w:tc>
          <w:tcPr>
            <w:tcW w:w="48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17</w:t>
            </w:r>
          </w:p>
        </w:tc>
        <w:tc>
          <w:tcPr>
            <w:tcW w:w="15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rsidP="005A31FF">
            <w:pPr>
              <w:jc w:val="center"/>
              <w:rPr>
                <w:rFonts w:ascii="仿宋" w:eastAsia="仿宋" w:hAnsi="仿宋" w:cs="Arial"/>
                <w:color w:val="000000"/>
                <w:sz w:val="24"/>
                <w:szCs w:val="24"/>
              </w:rPr>
            </w:pPr>
            <w:r>
              <w:rPr>
                <w:rFonts w:ascii="仿宋" w:eastAsia="仿宋" w:hAnsi="仿宋" w:cs="Arial" w:hint="eastAsia"/>
                <w:color w:val="FF0000"/>
                <w:sz w:val="24"/>
                <w:szCs w:val="24"/>
              </w:rPr>
              <w:t>16835823</w:t>
            </w:r>
          </w:p>
        </w:tc>
        <w:tc>
          <w:tcPr>
            <w:tcW w:w="1331"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1911228</w:t>
            </w:r>
            <w:r w:rsidR="005A31FF">
              <w:rPr>
                <w:rFonts w:ascii="仿宋" w:eastAsia="仿宋" w:hAnsi="仿宋" w:cs="Arial" w:hint="eastAsia"/>
                <w:color w:val="FF0000"/>
                <w:sz w:val="24"/>
                <w:szCs w:val="24"/>
              </w:rPr>
              <w:t>4</w:t>
            </w:r>
          </w:p>
        </w:tc>
      </w:tr>
      <w:tr w:rsidR="00FF2A1C">
        <w:trPr>
          <w:trHeight w:val="525"/>
        </w:trPr>
        <w:tc>
          <w:tcPr>
            <w:tcW w:w="125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利息支出</w:t>
            </w:r>
          </w:p>
        </w:tc>
        <w:tc>
          <w:tcPr>
            <w:tcW w:w="506"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4</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rsidP="005A31FF">
            <w:pPr>
              <w:jc w:val="center"/>
              <w:rPr>
                <w:rFonts w:ascii="仿宋" w:eastAsia="仿宋" w:hAnsi="仿宋" w:cs="Arial"/>
                <w:color w:val="000000"/>
                <w:sz w:val="24"/>
                <w:szCs w:val="24"/>
              </w:rPr>
            </w:pPr>
            <w:r>
              <w:rPr>
                <w:rFonts w:ascii="仿宋" w:eastAsia="仿宋" w:hAnsi="仿宋" w:cs="Arial" w:hint="eastAsia"/>
                <w:color w:val="FF0000"/>
                <w:sz w:val="24"/>
                <w:szCs w:val="24"/>
              </w:rPr>
              <w:t>8034750</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rsidP="005A31FF">
            <w:pPr>
              <w:jc w:val="center"/>
            </w:pPr>
            <w:r>
              <w:rPr>
                <w:rFonts w:ascii="仿宋" w:eastAsia="仿宋" w:hAnsi="仿宋" w:cs="Arial" w:hint="eastAsia"/>
                <w:color w:val="FF0000"/>
                <w:sz w:val="24"/>
                <w:szCs w:val="24"/>
              </w:rPr>
              <w:t>13268677</w:t>
            </w:r>
          </w:p>
        </w:tc>
        <w:tc>
          <w:tcPr>
            <w:tcW w:w="221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（三）资产减值损失或呆账损失（转回金额以"-"号填列）</w:t>
            </w:r>
          </w:p>
        </w:tc>
        <w:tc>
          <w:tcPr>
            <w:tcW w:w="48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18</w:t>
            </w:r>
          </w:p>
        </w:tc>
        <w:tc>
          <w:tcPr>
            <w:tcW w:w="15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1135000</w:t>
            </w:r>
          </w:p>
        </w:tc>
        <w:tc>
          <w:tcPr>
            <w:tcW w:w="1331"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2050000</w:t>
            </w:r>
          </w:p>
        </w:tc>
      </w:tr>
      <w:tr w:rsidR="00FF2A1C">
        <w:trPr>
          <w:trHeight w:val="525"/>
        </w:trPr>
        <w:tc>
          <w:tcPr>
            <w:tcW w:w="125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（二）手续费及佣金净收入</w:t>
            </w:r>
          </w:p>
        </w:tc>
        <w:tc>
          <w:tcPr>
            <w:tcW w:w="506"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5</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-76298</w:t>
            </w:r>
            <w:r w:rsidR="005A31FF">
              <w:rPr>
                <w:rFonts w:ascii="仿宋" w:eastAsia="仿宋" w:hAnsi="仿宋" w:cs="Arial" w:hint="eastAsia"/>
                <w:color w:val="FF0000"/>
                <w:sz w:val="24"/>
                <w:szCs w:val="24"/>
              </w:rPr>
              <w:t>4</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-29387</w:t>
            </w:r>
            <w:r w:rsidR="005A31FF">
              <w:rPr>
                <w:rFonts w:ascii="仿宋" w:eastAsia="仿宋" w:hAnsi="仿宋" w:cs="Arial" w:hint="eastAsia"/>
                <w:color w:val="FF0000"/>
                <w:sz w:val="24"/>
                <w:szCs w:val="24"/>
              </w:rPr>
              <w:t>5</w:t>
            </w:r>
          </w:p>
        </w:tc>
        <w:tc>
          <w:tcPr>
            <w:tcW w:w="221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（四）其他业务成本</w:t>
            </w:r>
          </w:p>
        </w:tc>
        <w:tc>
          <w:tcPr>
            <w:tcW w:w="48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19</w:t>
            </w:r>
          </w:p>
        </w:tc>
        <w:tc>
          <w:tcPr>
            <w:tcW w:w="15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331"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trHeight w:val="525"/>
        </w:trPr>
        <w:tc>
          <w:tcPr>
            <w:tcW w:w="125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手续费及佣金收入</w:t>
            </w:r>
          </w:p>
        </w:tc>
        <w:tc>
          <w:tcPr>
            <w:tcW w:w="506"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6</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993</w:t>
            </w:r>
            <w:r w:rsidR="005A31FF">
              <w:rPr>
                <w:rFonts w:ascii="仿宋" w:eastAsia="仿宋" w:hAnsi="仿宋" w:cs="Arial" w:hint="eastAsia"/>
                <w:color w:val="FF0000"/>
                <w:sz w:val="24"/>
                <w:szCs w:val="24"/>
              </w:rPr>
              <w:t>1</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rsidP="005A31FF">
            <w:pPr>
              <w:jc w:val="center"/>
            </w:pPr>
            <w:r>
              <w:rPr>
                <w:rFonts w:ascii="仿宋" w:eastAsia="仿宋" w:hAnsi="仿宋" w:cs="Arial" w:hint="eastAsia"/>
                <w:color w:val="FF0000"/>
                <w:sz w:val="24"/>
                <w:szCs w:val="24"/>
              </w:rPr>
              <w:t>1133617</w:t>
            </w:r>
          </w:p>
        </w:tc>
        <w:tc>
          <w:tcPr>
            <w:tcW w:w="221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三、营业利润（亏损以"-"号填列）</w:t>
            </w:r>
          </w:p>
        </w:tc>
        <w:tc>
          <w:tcPr>
            <w:tcW w:w="48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20</w:t>
            </w:r>
          </w:p>
        </w:tc>
        <w:tc>
          <w:tcPr>
            <w:tcW w:w="15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287960</w:t>
            </w:r>
            <w:r w:rsidR="005A31FF">
              <w:rPr>
                <w:rFonts w:ascii="仿宋" w:eastAsia="仿宋" w:hAnsi="仿宋" w:cs="Arial" w:hint="eastAsia"/>
                <w:color w:val="FF0000"/>
                <w:sz w:val="24"/>
                <w:szCs w:val="24"/>
              </w:rPr>
              <w:t>6</w:t>
            </w:r>
          </w:p>
        </w:tc>
        <w:tc>
          <w:tcPr>
            <w:tcW w:w="1331"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538102</w:t>
            </w:r>
            <w:r w:rsidR="005A31FF">
              <w:rPr>
                <w:rFonts w:ascii="仿宋" w:eastAsia="仿宋" w:hAnsi="仿宋" w:cs="Arial" w:hint="eastAsia"/>
                <w:color w:val="FF0000"/>
                <w:sz w:val="24"/>
                <w:szCs w:val="24"/>
              </w:rPr>
              <w:t>8</w:t>
            </w:r>
          </w:p>
        </w:tc>
      </w:tr>
      <w:tr w:rsidR="00FF2A1C">
        <w:trPr>
          <w:trHeight w:val="525"/>
        </w:trPr>
        <w:tc>
          <w:tcPr>
            <w:tcW w:w="125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手续费及佣金支出</w:t>
            </w:r>
          </w:p>
        </w:tc>
        <w:tc>
          <w:tcPr>
            <w:tcW w:w="506"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7</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rsidP="005A31FF">
            <w:pPr>
              <w:jc w:val="center"/>
              <w:rPr>
                <w:rFonts w:ascii="仿宋" w:eastAsia="仿宋" w:hAnsi="仿宋" w:cs="Arial"/>
                <w:color w:val="000000"/>
                <w:sz w:val="24"/>
                <w:szCs w:val="24"/>
                <w:highlight w:val="yellow"/>
              </w:rPr>
            </w:pPr>
            <w:r>
              <w:rPr>
                <w:rFonts w:ascii="仿宋" w:eastAsia="仿宋" w:hAnsi="仿宋" w:cs="Arial" w:hint="eastAsia"/>
                <w:color w:val="FF0000"/>
                <w:sz w:val="24"/>
                <w:szCs w:val="24"/>
              </w:rPr>
              <w:t>772914</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142749</w:t>
            </w:r>
            <w:r w:rsidR="005A31FF">
              <w:rPr>
                <w:rFonts w:ascii="仿宋" w:eastAsia="仿宋" w:hAnsi="仿宋" w:cs="Arial" w:hint="eastAsia"/>
                <w:color w:val="FF0000"/>
                <w:sz w:val="24"/>
                <w:szCs w:val="24"/>
              </w:rPr>
              <w:t>2</w:t>
            </w:r>
          </w:p>
        </w:tc>
        <w:tc>
          <w:tcPr>
            <w:tcW w:w="221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highlight w:val="yellow"/>
              </w:rPr>
            </w:pPr>
            <w:r>
              <w:rPr>
                <w:rFonts w:ascii="仿宋" w:eastAsia="仿宋" w:hAnsi="仿宋" w:cs="Arial"/>
                <w:color w:val="FF0000"/>
                <w:sz w:val="24"/>
                <w:szCs w:val="24"/>
              </w:rPr>
              <w:t>加：营业外收入</w:t>
            </w:r>
          </w:p>
        </w:tc>
        <w:tc>
          <w:tcPr>
            <w:tcW w:w="48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21</w:t>
            </w:r>
          </w:p>
        </w:tc>
        <w:tc>
          <w:tcPr>
            <w:tcW w:w="15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728300</w:t>
            </w:r>
          </w:p>
        </w:tc>
        <w:tc>
          <w:tcPr>
            <w:tcW w:w="1331"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112429</w:t>
            </w:r>
            <w:r w:rsidR="005A31FF">
              <w:rPr>
                <w:rFonts w:ascii="仿宋" w:eastAsia="仿宋" w:hAnsi="仿宋" w:cs="Arial" w:hint="eastAsia"/>
                <w:color w:val="FF0000"/>
                <w:sz w:val="24"/>
                <w:szCs w:val="24"/>
              </w:rPr>
              <w:t>9</w:t>
            </w:r>
          </w:p>
        </w:tc>
      </w:tr>
      <w:tr w:rsidR="00FF2A1C">
        <w:trPr>
          <w:trHeight w:val="525"/>
        </w:trPr>
        <w:tc>
          <w:tcPr>
            <w:tcW w:w="125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（三）投资收益（损失以"-"号填列）</w:t>
            </w:r>
          </w:p>
        </w:tc>
        <w:tc>
          <w:tcPr>
            <w:tcW w:w="506"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8</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0</w:t>
            </w:r>
          </w:p>
        </w:tc>
        <w:tc>
          <w:tcPr>
            <w:tcW w:w="221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减：营业外支出</w:t>
            </w:r>
          </w:p>
        </w:tc>
        <w:tc>
          <w:tcPr>
            <w:tcW w:w="48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22</w:t>
            </w:r>
          </w:p>
        </w:tc>
        <w:tc>
          <w:tcPr>
            <w:tcW w:w="15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331"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trHeight w:val="525"/>
        </w:trPr>
        <w:tc>
          <w:tcPr>
            <w:tcW w:w="125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其中：对联营企业和合营企业的投资收益</w:t>
            </w:r>
          </w:p>
        </w:tc>
        <w:tc>
          <w:tcPr>
            <w:tcW w:w="506"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9</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0</w:t>
            </w:r>
          </w:p>
        </w:tc>
        <w:tc>
          <w:tcPr>
            <w:tcW w:w="221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四、利润总额（亏损以"-"号填列）</w:t>
            </w:r>
          </w:p>
        </w:tc>
        <w:tc>
          <w:tcPr>
            <w:tcW w:w="48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23</w:t>
            </w:r>
          </w:p>
        </w:tc>
        <w:tc>
          <w:tcPr>
            <w:tcW w:w="15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360790</w:t>
            </w:r>
            <w:r w:rsidR="002F76A0">
              <w:rPr>
                <w:rFonts w:ascii="仿宋" w:eastAsia="仿宋" w:hAnsi="仿宋" w:cs="Arial" w:hint="eastAsia"/>
                <w:color w:val="FF0000"/>
                <w:sz w:val="24"/>
                <w:szCs w:val="24"/>
              </w:rPr>
              <w:t>6</w:t>
            </w:r>
          </w:p>
        </w:tc>
        <w:tc>
          <w:tcPr>
            <w:tcW w:w="1331"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650532</w:t>
            </w:r>
            <w:r w:rsidR="002F76A0">
              <w:rPr>
                <w:rFonts w:ascii="仿宋" w:eastAsia="仿宋" w:hAnsi="仿宋" w:cs="Arial" w:hint="eastAsia"/>
                <w:color w:val="FF0000"/>
                <w:sz w:val="24"/>
                <w:szCs w:val="24"/>
              </w:rPr>
              <w:t>7</w:t>
            </w:r>
          </w:p>
        </w:tc>
      </w:tr>
      <w:tr w:rsidR="00FF2A1C">
        <w:trPr>
          <w:trHeight w:val="525"/>
        </w:trPr>
        <w:tc>
          <w:tcPr>
            <w:tcW w:w="125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（四）公允价值变动收益（损失以"-"号填列）</w:t>
            </w:r>
          </w:p>
        </w:tc>
        <w:tc>
          <w:tcPr>
            <w:tcW w:w="506"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10</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0</w:t>
            </w:r>
          </w:p>
        </w:tc>
        <w:tc>
          <w:tcPr>
            <w:tcW w:w="221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减：所得税费用</w:t>
            </w:r>
          </w:p>
        </w:tc>
        <w:tc>
          <w:tcPr>
            <w:tcW w:w="48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24</w:t>
            </w:r>
          </w:p>
        </w:tc>
        <w:tc>
          <w:tcPr>
            <w:tcW w:w="15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rsidP="002F76A0">
            <w:pPr>
              <w:jc w:val="center"/>
              <w:rPr>
                <w:rFonts w:ascii="仿宋" w:eastAsia="仿宋" w:hAnsi="仿宋" w:cs="Arial"/>
                <w:color w:val="000000"/>
                <w:sz w:val="24"/>
                <w:szCs w:val="24"/>
              </w:rPr>
            </w:pPr>
            <w:r>
              <w:rPr>
                <w:rFonts w:ascii="仿宋" w:eastAsia="仿宋" w:hAnsi="仿宋" w:cs="Arial" w:hint="eastAsia"/>
                <w:color w:val="FF0000"/>
                <w:sz w:val="24"/>
                <w:szCs w:val="24"/>
              </w:rPr>
              <w:t>149981</w:t>
            </w:r>
          </w:p>
        </w:tc>
        <w:tc>
          <w:tcPr>
            <w:tcW w:w="1331"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127243</w:t>
            </w:r>
            <w:r w:rsidR="002F76A0">
              <w:rPr>
                <w:rFonts w:ascii="仿宋" w:eastAsia="仿宋" w:hAnsi="仿宋" w:cs="Arial" w:hint="eastAsia"/>
                <w:color w:val="FF0000"/>
                <w:sz w:val="24"/>
                <w:szCs w:val="24"/>
              </w:rPr>
              <w:t>5</w:t>
            </w:r>
          </w:p>
        </w:tc>
      </w:tr>
      <w:tr w:rsidR="00FF2A1C">
        <w:trPr>
          <w:trHeight w:val="525"/>
        </w:trPr>
        <w:tc>
          <w:tcPr>
            <w:tcW w:w="125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lastRenderedPageBreak/>
              <w:t>（五） 汇兑收益（损失以"-"号填列）</w:t>
            </w:r>
          </w:p>
        </w:tc>
        <w:tc>
          <w:tcPr>
            <w:tcW w:w="5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11</w:t>
            </w:r>
          </w:p>
        </w:tc>
        <w:tc>
          <w:tcPr>
            <w:tcW w:w="14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1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0</w:t>
            </w:r>
          </w:p>
        </w:tc>
        <w:tc>
          <w:tcPr>
            <w:tcW w:w="221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五、净利润（亏损以"-"号填列）</w:t>
            </w:r>
          </w:p>
        </w:tc>
        <w:tc>
          <w:tcPr>
            <w:tcW w:w="48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25</w:t>
            </w:r>
          </w:p>
        </w:tc>
        <w:tc>
          <w:tcPr>
            <w:tcW w:w="15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345792</w:t>
            </w:r>
            <w:r w:rsidR="002F76A0">
              <w:rPr>
                <w:rFonts w:ascii="仿宋" w:eastAsia="仿宋" w:hAnsi="仿宋" w:cs="Arial" w:hint="eastAsia"/>
                <w:color w:val="FF0000"/>
                <w:sz w:val="24"/>
                <w:szCs w:val="24"/>
              </w:rPr>
              <w:t>5</w:t>
            </w:r>
          </w:p>
        </w:tc>
        <w:tc>
          <w:tcPr>
            <w:tcW w:w="13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523289</w:t>
            </w:r>
            <w:r w:rsidR="002F76A0">
              <w:rPr>
                <w:rFonts w:ascii="仿宋" w:eastAsia="仿宋" w:hAnsi="仿宋" w:cs="Arial" w:hint="eastAsia"/>
                <w:color w:val="FF0000"/>
                <w:sz w:val="24"/>
                <w:szCs w:val="24"/>
              </w:rPr>
              <w:t>2</w:t>
            </w:r>
          </w:p>
        </w:tc>
      </w:tr>
      <w:tr w:rsidR="00FF2A1C">
        <w:trPr>
          <w:trHeight w:val="525"/>
        </w:trPr>
        <w:tc>
          <w:tcPr>
            <w:tcW w:w="125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（六）其他收益</w:t>
            </w:r>
          </w:p>
        </w:tc>
        <w:tc>
          <w:tcPr>
            <w:tcW w:w="5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12</w:t>
            </w:r>
          </w:p>
        </w:tc>
        <w:tc>
          <w:tcPr>
            <w:tcW w:w="14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1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0</w:t>
            </w:r>
          </w:p>
        </w:tc>
        <w:tc>
          <w:tcPr>
            <w:tcW w:w="221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六、每股收益：</w:t>
            </w:r>
          </w:p>
        </w:tc>
        <w:tc>
          <w:tcPr>
            <w:tcW w:w="48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26</w:t>
            </w:r>
          </w:p>
        </w:tc>
        <w:tc>
          <w:tcPr>
            <w:tcW w:w="15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3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trHeight w:val="525"/>
        </w:trPr>
        <w:tc>
          <w:tcPr>
            <w:tcW w:w="125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（七）其他业务收入</w:t>
            </w:r>
          </w:p>
        </w:tc>
        <w:tc>
          <w:tcPr>
            <w:tcW w:w="506"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13</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0</w:t>
            </w:r>
          </w:p>
        </w:tc>
        <w:tc>
          <w:tcPr>
            <w:tcW w:w="221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（一）基本每股收益</w:t>
            </w:r>
          </w:p>
        </w:tc>
        <w:tc>
          <w:tcPr>
            <w:tcW w:w="48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27</w:t>
            </w:r>
          </w:p>
        </w:tc>
        <w:tc>
          <w:tcPr>
            <w:tcW w:w="15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331"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r w:rsidR="00FF2A1C">
        <w:trPr>
          <w:trHeight w:val="615"/>
        </w:trPr>
        <w:tc>
          <w:tcPr>
            <w:tcW w:w="125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（八）资产处置收益</w:t>
            </w:r>
          </w:p>
        </w:tc>
        <w:tc>
          <w:tcPr>
            <w:tcW w:w="506"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14</w:t>
            </w:r>
          </w:p>
        </w:tc>
        <w:tc>
          <w:tcPr>
            <w:tcW w:w="1485"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0.00</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pPr>
            <w:r>
              <w:rPr>
                <w:rFonts w:ascii="仿宋" w:eastAsia="仿宋" w:hAnsi="仿宋" w:cs="Arial" w:hint="eastAsia"/>
                <w:color w:val="FF0000"/>
                <w:sz w:val="24"/>
                <w:szCs w:val="24"/>
              </w:rPr>
              <w:t>0</w:t>
            </w:r>
          </w:p>
        </w:tc>
        <w:tc>
          <w:tcPr>
            <w:tcW w:w="221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rPr>
                <w:rFonts w:ascii="仿宋" w:eastAsia="仿宋" w:hAnsi="仿宋" w:cs="Arial"/>
                <w:color w:val="000000"/>
                <w:sz w:val="24"/>
                <w:szCs w:val="24"/>
              </w:rPr>
            </w:pPr>
            <w:r>
              <w:rPr>
                <w:rFonts w:ascii="仿宋" w:eastAsia="仿宋" w:hAnsi="仿宋" w:cs="Arial"/>
                <w:color w:val="FF0000"/>
                <w:sz w:val="24"/>
                <w:szCs w:val="24"/>
              </w:rPr>
              <w:t>（二）稀释每股收益</w:t>
            </w:r>
          </w:p>
        </w:tc>
        <w:tc>
          <w:tcPr>
            <w:tcW w:w="48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color w:val="FF0000"/>
                <w:sz w:val="24"/>
                <w:szCs w:val="24"/>
              </w:rPr>
              <w:t>28</w:t>
            </w:r>
          </w:p>
        </w:tc>
        <w:tc>
          <w:tcPr>
            <w:tcW w:w="15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c>
          <w:tcPr>
            <w:tcW w:w="1331" w:type="dxa"/>
            <w:tcBorders>
              <w:top w:val="nil"/>
              <w:left w:val="nil"/>
              <w:bottom w:val="single" w:sz="4" w:space="0" w:color="auto"/>
              <w:right w:val="single" w:sz="4" w:space="0" w:color="auto"/>
            </w:tcBorders>
            <w:tcMar>
              <w:top w:w="15" w:type="dxa"/>
              <w:left w:w="15" w:type="dxa"/>
              <w:bottom w:w="0" w:type="dxa"/>
              <w:right w:w="15" w:type="dxa"/>
            </w:tcMar>
            <w:vAlign w:val="center"/>
          </w:tcPr>
          <w:p w:rsidR="00FF2A1C" w:rsidRDefault="00236B06">
            <w:pPr>
              <w:jc w:val="center"/>
              <w:rPr>
                <w:rFonts w:ascii="仿宋" w:eastAsia="仿宋" w:hAnsi="仿宋" w:cs="Arial"/>
                <w:color w:val="000000"/>
                <w:sz w:val="24"/>
                <w:szCs w:val="24"/>
              </w:rPr>
            </w:pPr>
            <w:r>
              <w:rPr>
                <w:rFonts w:ascii="仿宋" w:eastAsia="仿宋" w:hAnsi="仿宋" w:cs="Arial" w:hint="eastAsia"/>
                <w:color w:val="FF0000"/>
                <w:sz w:val="24"/>
                <w:szCs w:val="24"/>
              </w:rPr>
              <w:t>0</w:t>
            </w:r>
          </w:p>
        </w:tc>
      </w:tr>
    </w:tbl>
    <w:p w:rsidR="00FF2A1C" w:rsidRDefault="00FF2A1C">
      <w:pPr>
        <w:pStyle w:val="2"/>
        <w:spacing w:line="600" w:lineRule="exact"/>
        <w:jc w:val="both"/>
        <w:rPr>
          <w:rStyle w:val="a8"/>
          <w:rFonts w:ascii="Arial" w:eastAsia="微软雅黑" w:hAnsi="Arial" w:cs="Arial"/>
          <w:b/>
          <w:bCs/>
          <w:color w:val="404040"/>
        </w:rPr>
      </w:pPr>
    </w:p>
    <w:p w:rsidR="00FF2A1C" w:rsidRDefault="00236B06">
      <w:pPr>
        <w:pStyle w:val="2"/>
        <w:spacing w:line="600" w:lineRule="exact"/>
        <w:ind w:firstLineChars="200" w:firstLine="602"/>
        <w:jc w:val="both"/>
        <w:rPr>
          <w:rFonts w:ascii="仿宋" w:eastAsia="仿宋" w:hAnsi="仿宋"/>
          <w:color w:val="404040"/>
          <w:sz w:val="30"/>
          <w:szCs w:val="30"/>
        </w:rPr>
      </w:pPr>
      <w:r>
        <w:rPr>
          <w:rStyle w:val="a8"/>
          <w:rFonts w:ascii="Arial" w:eastAsia="仿宋" w:hAnsi="Arial" w:cs="Arial"/>
          <w:b/>
          <w:bCs/>
          <w:color w:val="404040"/>
          <w:sz w:val="30"/>
          <w:szCs w:val="30"/>
        </w:rPr>
        <w:t>   </w:t>
      </w:r>
      <w:r>
        <w:rPr>
          <w:rStyle w:val="apple-converted-space"/>
          <w:rFonts w:ascii="Arial" w:eastAsia="仿宋" w:hAnsi="Arial" w:cs="Arial"/>
          <w:color w:val="404040"/>
          <w:sz w:val="30"/>
          <w:szCs w:val="30"/>
        </w:rPr>
        <w:t> </w:t>
      </w:r>
      <w:bookmarkStart w:id="14" w:name="_Toc481080001"/>
      <w:r>
        <w:rPr>
          <w:rStyle w:val="a8"/>
          <w:rFonts w:ascii="仿宋" w:eastAsia="仿宋" w:hAnsi="仿宋" w:cs="Arial" w:hint="eastAsia"/>
          <w:color w:val="000000"/>
          <w:sz w:val="30"/>
          <w:szCs w:val="30"/>
        </w:rPr>
        <w:t>二、</w:t>
      </w:r>
      <w:bookmarkEnd w:id="14"/>
      <w:r>
        <w:rPr>
          <w:rStyle w:val="a8"/>
          <w:rFonts w:ascii="仿宋" w:eastAsia="仿宋" w:hAnsi="仿宋" w:cs="Arial" w:hint="eastAsia"/>
          <w:b/>
          <w:bCs/>
          <w:color w:val="000000"/>
          <w:sz w:val="30"/>
          <w:szCs w:val="30"/>
        </w:rPr>
        <w:t>会计报表附注</w:t>
      </w:r>
    </w:p>
    <w:p w:rsidR="00FF2A1C" w:rsidRDefault="00236B06">
      <w:pPr>
        <w:pStyle w:val="a7"/>
        <w:spacing w:before="0" w:beforeAutospacing="0" w:after="0" w:afterAutospacing="0" w:line="600" w:lineRule="exact"/>
        <w:ind w:firstLineChars="200" w:firstLine="602"/>
        <w:jc w:val="both"/>
        <w:rPr>
          <w:rFonts w:ascii="仿宋" w:eastAsia="仿宋" w:hAnsi="仿宋"/>
          <w:color w:val="404040"/>
          <w:sz w:val="30"/>
          <w:szCs w:val="30"/>
        </w:rPr>
      </w:pPr>
      <w:r>
        <w:rPr>
          <w:rStyle w:val="a8"/>
          <w:rFonts w:ascii="仿宋" w:eastAsia="仿宋" w:hAnsi="仿宋" w:cs="Times New Roman" w:hint="eastAsia"/>
          <w:color w:val="000000"/>
          <w:sz w:val="30"/>
          <w:szCs w:val="30"/>
        </w:rPr>
        <w:t>（一）编制基础</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本财务报表按照企业会计准则和《金融企业会计制度》以及其他相关规定编制；本财务报表以持续经营为基础列报；本财务报表编制基础全部符合会计核算基本前提。</w:t>
      </w:r>
    </w:p>
    <w:p w:rsidR="00FF2A1C" w:rsidRDefault="00236B06">
      <w:pPr>
        <w:pStyle w:val="a7"/>
        <w:spacing w:before="0" w:beforeAutospacing="0" w:after="0" w:afterAutospacing="0" w:line="600" w:lineRule="exact"/>
        <w:ind w:firstLineChars="200" w:firstLine="602"/>
        <w:jc w:val="both"/>
        <w:rPr>
          <w:rFonts w:ascii="仿宋" w:eastAsia="仿宋" w:hAnsi="仿宋"/>
          <w:color w:val="404040"/>
          <w:sz w:val="30"/>
          <w:szCs w:val="30"/>
        </w:rPr>
      </w:pPr>
      <w:r>
        <w:rPr>
          <w:rStyle w:val="a8"/>
          <w:rFonts w:ascii="仿宋" w:eastAsia="仿宋" w:hAnsi="仿宋" w:cs="Times New Roman" w:hint="eastAsia"/>
          <w:color w:val="000000"/>
          <w:sz w:val="30"/>
          <w:szCs w:val="30"/>
        </w:rPr>
        <w:t>（二）重要会计政策和会计估计</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1、会计年度。本行会计年度自公历1月1日起至12月31日止。</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2、记账本位币。本行以人民币为记账本位币。</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3、记账基础和计价原则。本行以权责发生制为基础进行会计确认、计量和报告，特别说明以历史成本为计价原则的除外。资产如果发生减值，则按照相关规定计提相应的减值准备。</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4、贷款的种类和范围。本行的贷款种类包括：抵押贷款、保证贷款、信用贷款、质押贷款；本行的贷款范围有：农、林、</w:t>
      </w:r>
      <w:r>
        <w:rPr>
          <w:rFonts w:ascii="仿宋" w:eastAsia="仿宋" w:hAnsi="仿宋" w:cs="Times New Roman" w:hint="eastAsia"/>
          <w:color w:val="000000"/>
          <w:sz w:val="30"/>
          <w:szCs w:val="30"/>
        </w:rPr>
        <w:lastRenderedPageBreak/>
        <w:t>牧、渔业、批发和零售业、住宿和餐饮业、制造业、个人贷款等。</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5、投资核算方法。长期股权投资计价和收益确认方法：长期股权投资按取得时的实际成本作为初始投资成本，对被投资企业没有实际控制权的，采用成本法核算。处置长期股权投资时，将投资的账面价值与实际取得价款的差额，作为当期投资损益。</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6、计提各项资产减值准备的范围和方法。</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（1）资产减值准备提取范围。对承担风险和损失的债权和股权资产计提减值准备。</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资产减值准备中的贷款损失准备的计提范围为本行承担风险和损失的各项贷款。其他资产减值准备计提的范围为除各项贷款以外的其他风险资产。</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（2）资产减值准备提取比例及方法</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贷款损失准备按贷款风险五级分类的标准提取贷款损失准备，贷款损失准备计提比例为关注类2％、次级类25%、可疑类50%、损失类100%，对特定国家、地区或行业发放的贷款，根据的风险程度和回收可能性，分析确定各类信贷资产应计提特种准备。</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经批准核销的呆账贷款，冲销贷款损失准备金；已冲销的损失呆账贷款，以后又收回的，按已冲销的贷款损失准备金予以转回。</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7、收入确认原则和方法</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lastRenderedPageBreak/>
        <w:t>（1）利息收入。按照财政部《关于调整金融企业应收利息核算办法的通知》财金［2001］25号和《关于缩短金融企业应收利息核算期限的通知》（财金[2002]5号的规定确认和计量。发放的贷款到期（含展期，下同）90天及以上尚未收回的，其应计利息停止计入当期利息收入，纳入表外核算；其已计提的利息收入，在贷款到期90天后仍未收回的，或在应收利息逾期90天后仍未收到的，冲减原已计入损益的利息收入，转作表外核算。表外核算的应计利息，在实际收到时确认为收款期的利息收入。</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（2）中间业务收入。包括支付结算手续费收入、代理业务手续费收入等，在交易已经完成，实际收到款项时确认中间业务收入。</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（3）其他业务收入。均在实际收到款项时确认收入。</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8、衍生金融工具的计价方法。截至本财务报表批准报出日止，本行没有衍生金融工具，暂无相关计价方法。</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9、外币业务和报表折算方法。截至本财务报表批准报出日止，本行没有外币业务和报表，暂无折算方法。</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10、合并会计报表的编制方法。本行会计报表按照企业会计准则进行编制。</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11、固定资产计价和折旧方法。固定资产是指使用年限在1年（不含1年）以上，单位价值在5000元（不含5000元）以上，并在使用过程中保持原有物质形态的资产，包括房屋及建筑物、电子设备、运输设备、机器设备、办公设备及其他等。</w:t>
      </w:r>
      <w:r>
        <w:rPr>
          <w:rFonts w:ascii="仿宋" w:eastAsia="仿宋" w:hAnsi="仿宋" w:cs="Times New Roman" w:hint="eastAsia"/>
          <w:color w:val="000000"/>
          <w:sz w:val="30"/>
          <w:szCs w:val="30"/>
        </w:rPr>
        <w:lastRenderedPageBreak/>
        <w:t>固定资产按购置或新建时的原始成本计价。固定资产折旧采用直线法计算，按原价减去5%的净残值在分类折旧年限内平均计提。固定资产的类别、分类折旧年限列示如下：</w:t>
      </w:r>
    </w:p>
    <w:tbl>
      <w:tblPr>
        <w:tblW w:w="82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336"/>
        <w:gridCol w:w="3240"/>
        <w:gridCol w:w="2670"/>
      </w:tblGrid>
      <w:tr w:rsidR="00FF2A1C">
        <w:trPr>
          <w:trHeight w:val="435"/>
        </w:trPr>
        <w:tc>
          <w:tcPr>
            <w:tcW w:w="2336"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sz w:val="30"/>
                <w:szCs w:val="30"/>
              </w:rPr>
            </w:pPr>
            <w:r>
              <w:rPr>
                <w:rStyle w:val="apple-converted-space"/>
                <w:rFonts w:ascii="Times New Roman" w:eastAsia="仿宋" w:hAnsi="Times New Roman" w:cs="Times New Roman"/>
                <w:color w:val="404040"/>
                <w:sz w:val="30"/>
                <w:szCs w:val="30"/>
              </w:rPr>
              <w:t> </w:t>
            </w:r>
            <w:r>
              <w:rPr>
                <w:rFonts w:ascii="仿宋" w:eastAsia="仿宋" w:hAnsi="仿宋" w:cs="Times New Roman" w:hint="eastAsia"/>
                <w:color w:val="000000"/>
                <w:sz w:val="30"/>
                <w:szCs w:val="30"/>
              </w:rPr>
              <w:t>固定资产类别</w:t>
            </w:r>
          </w:p>
        </w:tc>
        <w:tc>
          <w:tcPr>
            <w:tcW w:w="3240"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sz w:val="30"/>
                <w:szCs w:val="30"/>
              </w:rPr>
            </w:pPr>
            <w:r>
              <w:rPr>
                <w:rFonts w:ascii="仿宋" w:eastAsia="仿宋" w:hAnsi="仿宋" w:cs="Times New Roman" w:hint="eastAsia"/>
                <w:color w:val="000000"/>
                <w:sz w:val="30"/>
                <w:szCs w:val="30"/>
              </w:rPr>
              <w:t>预计使用年限 （年）</w:t>
            </w:r>
          </w:p>
        </w:tc>
        <w:tc>
          <w:tcPr>
            <w:tcW w:w="2670"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sz w:val="30"/>
                <w:szCs w:val="30"/>
              </w:rPr>
            </w:pPr>
            <w:r>
              <w:rPr>
                <w:rFonts w:ascii="仿宋" w:eastAsia="仿宋" w:hAnsi="仿宋" w:cs="Times New Roman" w:hint="eastAsia"/>
                <w:color w:val="000000"/>
                <w:sz w:val="30"/>
                <w:szCs w:val="30"/>
              </w:rPr>
              <w:t>年折旧率（%）</w:t>
            </w:r>
          </w:p>
        </w:tc>
      </w:tr>
      <w:tr w:rsidR="00FF2A1C">
        <w:trPr>
          <w:trHeight w:val="285"/>
        </w:trPr>
        <w:tc>
          <w:tcPr>
            <w:tcW w:w="2336"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sz w:val="30"/>
                <w:szCs w:val="30"/>
              </w:rPr>
            </w:pPr>
            <w:r>
              <w:rPr>
                <w:rFonts w:ascii="仿宋" w:eastAsia="仿宋" w:hAnsi="仿宋" w:cs="Times New Roman" w:hint="eastAsia"/>
                <w:color w:val="000000"/>
                <w:sz w:val="30"/>
                <w:szCs w:val="30"/>
              </w:rPr>
              <w:t>房屋及建筑物</w:t>
            </w:r>
          </w:p>
        </w:tc>
        <w:tc>
          <w:tcPr>
            <w:tcW w:w="3240"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600"/>
              <w:jc w:val="center"/>
              <w:rPr>
                <w:rFonts w:ascii="仿宋" w:eastAsia="仿宋" w:hAnsi="仿宋"/>
                <w:color w:val="404040"/>
                <w:sz w:val="30"/>
                <w:szCs w:val="30"/>
              </w:rPr>
            </w:pPr>
            <w:r>
              <w:rPr>
                <w:rFonts w:ascii="仿宋" w:eastAsia="仿宋" w:hAnsi="仿宋" w:cs="Times New Roman" w:hint="eastAsia"/>
                <w:color w:val="000000"/>
                <w:sz w:val="30"/>
                <w:szCs w:val="30"/>
              </w:rPr>
              <w:t>20年</w:t>
            </w:r>
          </w:p>
        </w:tc>
        <w:tc>
          <w:tcPr>
            <w:tcW w:w="2670"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600"/>
              <w:jc w:val="center"/>
              <w:rPr>
                <w:rFonts w:ascii="仿宋" w:eastAsia="仿宋" w:hAnsi="仿宋"/>
                <w:color w:val="404040"/>
                <w:sz w:val="30"/>
                <w:szCs w:val="30"/>
              </w:rPr>
            </w:pPr>
            <w:r>
              <w:rPr>
                <w:rFonts w:ascii="仿宋" w:eastAsia="仿宋" w:hAnsi="仿宋" w:cs="Times New Roman" w:hint="eastAsia"/>
                <w:color w:val="000000"/>
                <w:sz w:val="30"/>
                <w:szCs w:val="30"/>
              </w:rPr>
              <w:t>4%</w:t>
            </w:r>
          </w:p>
        </w:tc>
      </w:tr>
      <w:tr w:rsidR="00FF2A1C">
        <w:trPr>
          <w:trHeight w:val="360"/>
        </w:trPr>
        <w:tc>
          <w:tcPr>
            <w:tcW w:w="2336"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sz w:val="30"/>
                <w:szCs w:val="30"/>
              </w:rPr>
            </w:pPr>
            <w:r>
              <w:rPr>
                <w:rStyle w:val="apple-converted-space"/>
                <w:rFonts w:ascii="Times New Roman" w:eastAsia="仿宋" w:hAnsi="Times New Roman" w:cs="Times New Roman"/>
                <w:color w:val="404040"/>
                <w:sz w:val="30"/>
                <w:szCs w:val="30"/>
              </w:rPr>
              <w:t> </w:t>
            </w:r>
            <w:r>
              <w:rPr>
                <w:rFonts w:ascii="仿宋" w:eastAsia="仿宋" w:hAnsi="仿宋" w:cs="Times New Roman" w:hint="eastAsia"/>
                <w:color w:val="000000"/>
                <w:sz w:val="30"/>
                <w:szCs w:val="30"/>
              </w:rPr>
              <w:t>运输工具</w:t>
            </w:r>
          </w:p>
        </w:tc>
        <w:tc>
          <w:tcPr>
            <w:tcW w:w="3240"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600"/>
              <w:jc w:val="center"/>
              <w:rPr>
                <w:rFonts w:ascii="仿宋" w:eastAsia="仿宋" w:hAnsi="仿宋"/>
                <w:color w:val="404040"/>
                <w:sz w:val="30"/>
                <w:szCs w:val="30"/>
              </w:rPr>
            </w:pPr>
            <w:r>
              <w:rPr>
                <w:rFonts w:ascii="仿宋" w:eastAsia="仿宋" w:hAnsi="仿宋" w:cs="Times New Roman" w:hint="eastAsia"/>
                <w:color w:val="000000"/>
                <w:sz w:val="30"/>
                <w:szCs w:val="30"/>
              </w:rPr>
              <w:t>4年</w:t>
            </w:r>
          </w:p>
        </w:tc>
        <w:tc>
          <w:tcPr>
            <w:tcW w:w="2670"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600"/>
              <w:jc w:val="center"/>
              <w:rPr>
                <w:rFonts w:ascii="仿宋" w:eastAsia="仿宋" w:hAnsi="仿宋"/>
                <w:color w:val="404040"/>
                <w:sz w:val="30"/>
                <w:szCs w:val="30"/>
              </w:rPr>
            </w:pPr>
            <w:r>
              <w:rPr>
                <w:rFonts w:ascii="仿宋" w:eastAsia="仿宋" w:hAnsi="仿宋" w:cs="Times New Roman" w:hint="eastAsia"/>
                <w:color w:val="000000"/>
                <w:sz w:val="30"/>
                <w:szCs w:val="30"/>
              </w:rPr>
              <w:t>23.75%</w:t>
            </w:r>
          </w:p>
        </w:tc>
      </w:tr>
      <w:tr w:rsidR="00FF2A1C">
        <w:trPr>
          <w:trHeight w:val="360"/>
        </w:trPr>
        <w:tc>
          <w:tcPr>
            <w:tcW w:w="2336"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sz w:val="30"/>
                <w:szCs w:val="30"/>
              </w:rPr>
            </w:pPr>
            <w:r>
              <w:rPr>
                <w:rFonts w:ascii="仿宋" w:eastAsia="仿宋" w:hAnsi="仿宋" w:cs="Times New Roman" w:hint="eastAsia"/>
                <w:color w:val="000000"/>
                <w:sz w:val="30"/>
                <w:szCs w:val="30"/>
              </w:rPr>
              <w:t>办公设备及其他</w:t>
            </w:r>
          </w:p>
        </w:tc>
        <w:tc>
          <w:tcPr>
            <w:tcW w:w="3240"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600"/>
              <w:jc w:val="center"/>
              <w:rPr>
                <w:rFonts w:ascii="仿宋" w:eastAsia="仿宋" w:hAnsi="仿宋"/>
                <w:color w:val="404040"/>
                <w:sz w:val="30"/>
                <w:szCs w:val="30"/>
              </w:rPr>
            </w:pPr>
            <w:r>
              <w:rPr>
                <w:rFonts w:ascii="仿宋" w:eastAsia="仿宋" w:hAnsi="仿宋" w:cs="Times New Roman" w:hint="eastAsia"/>
                <w:color w:val="000000"/>
                <w:sz w:val="30"/>
                <w:szCs w:val="30"/>
              </w:rPr>
              <w:t>3年至5年</w:t>
            </w:r>
          </w:p>
        </w:tc>
        <w:tc>
          <w:tcPr>
            <w:tcW w:w="2670"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sz w:val="30"/>
                <w:szCs w:val="30"/>
              </w:rPr>
            </w:pPr>
            <w:r>
              <w:rPr>
                <w:rFonts w:ascii="仿宋" w:eastAsia="仿宋" w:hAnsi="仿宋" w:cs="Times New Roman" w:hint="eastAsia"/>
                <w:color w:val="000000"/>
                <w:sz w:val="30"/>
                <w:szCs w:val="30"/>
              </w:rPr>
              <w:t>31.67%至19.00%</w:t>
            </w:r>
          </w:p>
        </w:tc>
      </w:tr>
      <w:tr w:rsidR="00FF2A1C">
        <w:trPr>
          <w:trHeight w:val="360"/>
        </w:trPr>
        <w:tc>
          <w:tcPr>
            <w:tcW w:w="2336"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s="Times New Roman"/>
                <w:color w:val="404040"/>
                <w:sz w:val="30"/>
                <w:szCs w:val="30"/>
              </w:rPr>
            </w:pPr>
            <w:r>
              <w:rPr>
                <w:rFonts w:ascii="仿宋" w:eastAsia="仿宋" w:hAnsi="仿宋" w:cs="Times New Roman" w:hint="eastAsia"/>
                <w:color w:val="404040"/>
                <w:sz w:val="30"/>
                <w:szCs w:val="30"/>
              </w:rPr>
              <w:t>电子设备</w:t>
            </w:r>
          </w:p>
        </w:tc>
        <w:tc>
          <w:tcPr>
            <w:tcW w:w="3240"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600"/>
              <w:jc w:val="center"/>
              <w:rPr>
                <w:rFonts w:ascii="仿宋" w:eastAsia="仿宋" w:hAnsi="仿宋" w:cs="Times New Roman"/>
                <w:color w:val="000000"/>
                <w:sz w:val="30"/>
                <w:szCs w:val="30"/>
              </w:rPr>
            </w:pPr>
            <w:r>
              <w:rPr>
                <w:rFonts w:ascii="仿宋" w:eastAsia="仿宋" w:hAnsi="仿宋" w:cs="Times New Roman" w:hint="eastAsia"/>
                <w:color w:val="000000"/>
                <w:sz w:val="30"/>
                <w:szCs w:val="30"/>
              </w:rPr>
              <w:t>3年</w:t>
            </w:r>
          </w:p>
        </w:tc>
        <w:tc>
          <w:tcPr>
            <w:tcW w:w="2670"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600"/>
              <w:jc w:val="center"/>
              <w:rPr>
                <w:rFonts w:ascii="仿宋" w:eastAsia="仿宋" w:hAnsi="仿宋" w:cs="Times New Roman"/>
                <w:color w:val="000000"/>
                <w:sz w:val="30"/>
                <w:szCs w:val="30"/>
              </w:rPr>
            </w:pPr>
            <w:r>
              <w:rPr>
                <w:rFonts w:ascii="仿宋" w:eastAsia="仿宋" w:hAnsi="仿宋" w:cs="Times New Roman" w:hint="eastAsia"/>
                <w:color w:val="000000"/>
                <w:sz w:val="30"/>
                <w:szCs w:val="30"/>
              </w:rPr>
              <w:t>31.67%</w:t>
            </w:r>
          </w:p>
        </w:tc>
      </w:tr>
    </w:tbl>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12、无形资产计价及摊销政策。无形资产是指本行拥有或者控制的没有实物形态的可辨认非货币性资产，本行的无形资产为应用软件，按十年进行摊销。</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13、长期待摊费用的摊销政策。长期待摊费用是指不能全部计入当期损益，应当在以后年度分期摊销的各项费用。本行递延资产主要包括摊销期限在一年及以上的经营用监控设备款及装修款，以实际发生额核算，按预计受益期限平均摊销。</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14、所得税的会计处理方法。本行采用应付税款法核算所得税。按照当期计算的应交所得税确认为当期所得税费用。对企业所得税年度汇算清缴产生的与上一会计年度计算的应交所得税之间的差额调整汇算清缴年度的所得税费用和应交所得税。</w:t>
      </w:r>
    </w:p>
    <w:p w:rsidR="00FF2A1C" w:rsidRDefault="00236B06">
      <w:pPr>
        <w:pStyle w:val="a7"/>
        <w:spacing w:before="0" w:beforeAutospacing="0" w:after="0" w:afterAutospacing="0" w:line="600" w:lineRule="exact"/>
        <w:ind w:firstLineChars="200" w:firstLine="602"/>
        <w:jc w:val="both"/>
        <w:rPr>
          <w:rFonts w:ascii="仿宋" w:eastAsia="仿宋" w:hAnsi="仿宋"/>
          <w:color w:val="404040"/>
          <w:sz w:val="30"/>
          <w:szCs w:val="30"/>
        </w:rPr>
      </w:pPr>
      <w:r>
        <w:rPr>
          <w:rStyle w:val="a8"/>
          <w:rFonts w:ascii="仿宋" w:eastAsia="仿宋" w:hAnsi="仿宋" w:cs="Times New Roman" w:hint="eastAsia"/>
          <w:color w:val="000000"/>
          <w:sz w:val="30"/>
          <w:szCs w:val="30"/>
        </w:rPr>
        <w:t>（三）财务报表主要项目附注</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注：除有特别说明外，以下财务报表主要项目附注的金额单位为：人民币万元</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1．同业款项</w:t>
      </w:r>
    </w:p>
    <w:tbl>
      <w:tblPr>
        <w:tblW w:w="8478" w:type="dxa"/>
        <w:jc w:val="center"/>
        <w:tblLayout w:type="fixed"/>
        <w:tblCellMar>
          <w:top w:w="15" w:type="dxa"/>
          <w:left w:w="15" w:type="dxa"/>
          <w:bottom w:w="15" w:type="dxa"/>
          <w:right w:w="15" w:type="dxa"/>
        </w:tblCellMar>
        <w:tblLook w:val="04A0"/>
      </w:tblPr>
      <w:tblGrid>
        <w:gridCol w:w="2552"/>
        <w:gridCol w:w="2669"/>
        <w:gridCol w:w="3257"/>
      </w:tblGrid>
      <w:tr w:rsidR="00FF2A1C">
        <w:trPr>
          <w:trHeight w:val="240"/>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lastRenderedPageBreak/>
              <w:t>项</w:t>
            </w:r>
            <w:r>
              <w:rPr>
                <w:rFonts w:eastAsia="仿宋" w:cs="Times New Roman" w:hint="eastAsia"/>
                <w:color w:val="000000"/>
              </w:rPr>
              <w:t>     </w:t>
            </w:r>
            <w:r>
              <w:rPr>
                <w:rFonts w:ascii="仿宋" w:eastAsia="仿宋" w:hAnsi="仿宋" w:cs="Times New Roman" w:hint="eastAsia"/>
                <w:color w:val="000000"/>
              </w:rPr>
              <w:t>目</w:t>
            </w:r>
          </w:p>
        </w:tc>
        <w:tc>
          <w:tcPr>
            <w:tcW w:w="26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2020年12月31日</w:t>
            </w:r>
          </w:p>
        </w:tc>
        <w:tc>
          <w:tcPr>
            <w:tcW w:w="32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2021年12月31日</w:t>
            </w:r>
          </w:p>
        </w:tc>
      </w:tr>
      <w:tr w:rsidR="00FF2A1C">
        <w:trPr>
          <w:trHeight w:val="240"/>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存放境内同业款项</w:t>
            </w:r>
          </w:p>
        </w:tc>
        <w:tc>
          <w:tcPr>
            <w:tcW w:w="26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eastAsia="仿宋" w:cs="Times New Roman" w:hint="eastAsia"/>
                <w:color w:val="FF0000"/>
              </w:rPr>
              <w:t> </w:t>
            </w:r>
            <w:r>
              <w:rPr>
                <w:rFonts w:ascii="仿宋" w:eastAsia="仿宋" w:hAnsi="仿宋" w:cs="Times New Roman" w:hint="eastAsia"/>
                <w:color w:val="FF0000"/>
              </w:rPr>
              <w:t>237</w:t>
            </w:r>
            <w:r w:rsidR="00523042">
              <w:rPr>
                <w:rFonts w:ascii="仿宋" w:eastAsia="仿宋" w:hAnsi="仿宋" w:cs="Times New Roman" w:hint="eastAsia"/>
                <w:color w:val="FF0000"/>
              </w:rPr>
              <w:t>40</w:t>
            </w:r>
          </w:p>
        </w:tc>
        <w:tc>
          <w:tcPr>
            <w:tcW w:w="32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cs="Times New Roman" w:hint="eastAsia"/>
                <w:color w:val="FF0000"/>
              </w:rPr>
              <w:t>337</w:t>
            </w:r>
            <w:r w:rsidR="00D553C4">
              <w:rPr>
                <w:rFonts w:ascii="仿宋" w:eastAsia="仿宋" w:hAnsi="仿宋" w:cs="Times New Roman" w:hint="eastAsia"/>
                <w:color w:val="FF0000"/>
              </w:rPr>
              <w:t>80</w:t>
            </w:r>
          </w:p>
        </w:tc>
      </w:tr>
      <w:tr w:rsidR="00FF2A1C">
        <w:trPr>
          <w:trHeight w:val="240"/>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存放境外同业款项</w:t>
            </w:r>
          </w:p>
        </w:tc>
        <w:tc>
          <w:tcPr>
            <w:tcW w:w="26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right"/>
              <w:rPr>
                <w:rFonts w:ascii="仿宋" w:eastAsia="仿宋" w:hAnsi="仿宋"/>
                <w:color w:val="404040"/>
              </w:rPr>
            </w:pPr>
            <w:r>
              <w:rPr>
                <w:rFonts w:ascii="仿宋" w:eastAsia="仿宋" w:hAnsi="仿宋" w:cs="Times New Roman" w:hint="eastAsia"/>
                <w:color w:val="000000"/>
              </w:rPr>
              <w:t>0</w:t>
            </w:r>
          </w:p>
        </w:tc>
        <w:tc>
          <w:tcPr>
            <w:tcW w:w="32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right"/>
              <w:rPr>
                <w:rFonts w:ascii="仿宋" w:eastAsia="仿宋" w:hAnsi="仿宋"/>
                <w:color w:val="404040"/>
              </w:rPr>
            </w:pPr>
            <w:r>
              <w:rPr>
                <w:rFonts w:ascii="仿宋" w:eastAsia="仿宋" w:hAnsi="仿宋" w:cs="Times New Roman" w:hint="eastAsia"/>
                <w:color w:val="000000"/>
              </w:rPr>
              <w:t>0</w:t>
            </w:r>
          </w:p>
        </w:tc>
      </w:tr>
      <w:tr w:rsidR="00FF2A1C">
        <w:trPr>
          <w:trHeight w:val="240"/>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拆放境内同业款项</w:t>
            </w:r>
          </w:p>
        </w:tc>
        <w:tc>
          <w:tcPr>
            <w:tcW w:w="26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right"/>
              <w:rPr>
                <w:rFonts w:ascii="仿宋" w:eastAsia="仿宋" w:hAnsi="仿宋"/>
                <w:color w:val="404040"/>
              </w:rPr>
            </w:pPr>
            <w:r>
              <w:rPr>
                <w:rFonts w:ascii="仿宋" w:eastAsia="仿宋" w:hAnsi="仿宋" w:cs="Times New Roman" w:hint="eastAsia"/>
                <w:color w:val="000000"/>
              </w:rPr>
              <w:t>0</w:t>
            </w:r>
          </w:p>
        </w:tc>
        <w:tc>
          <w:tcPr>
            <w:tcW w:w="32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right"/>
              <w:rPr>
                <w:rFonts w:ascii="仿宋" w:eastAsia="仿宋" w:hAnsi="仿宋"/>
                <w:color w:val="404040"/>
              </w:rPr>
            </w:pPr>
            <w:r>
              <w:rPr>
                <w:rFonts w:ascii="仿宋" w:eastAsia="仿宋" w:hAnsi="仿宋" w:cs="Times New Roman" w:hint="eastAsia"/>
                <w:color w:val="000000"/>
              </w:rPr>
              <w:t>0</w:t>
            </w:r>
          </w:p>
        </w:tc>
      </w:tr>
      <w:tr w:rsidR="00FF2A1C">
        <w:trPr>
          <w:trHeight w:val="240"/>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拆放境外同业款项</w:t>
            </w:r>
          </w:p>
        </w:tc>
        <w:tc>
          <w:tcPr>
            <w:tcW w:w="26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right"/>
              <w:rPr>
                <w:rFonts w:ascii="仿宋" w:eastAsia="仿宋" w:hAnsi="仿宋"/>
                <w:color w:val="404040"/>
              </w:rPr>
            </w:pPr>
            <w:r>
              <w:rPr>
                <w:rFonts w:ascii="仿宋" w:eastAsia="仿宋" w:hAnsi="仿宋" w:cs="Times New Roman" w:hint="eastAsia"/>
                <w:color w:val="000000"/>
              </w:rPr>
              <w:t>0</w:t>
            </w:r>
          </w:p>
        </w:tc>
        <w:tc>
          <w:tcPr>
            <w:tcW w:w="32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right"/>
              <w:rPr>
                <w:rFonts w:ascii="仿宋" w:eastAsia="仿宋" w:hAnsi="仿宋"/>
                <w:color w:val="404040"/>
              </w:rPr>
            </w:pPr>
            <w:r>
              <w:rPr>
                <w:rFonts w:ascii="仿宋" w:eastAsia="仿宋" w:hAnsi="仿宋" w:cs="Times New Roman" w:hint="eastAsia"/>
                <w:color w:val="000000"/>
              </w:rPr>
              <w:t>0</w:t>
            </w:r>
          </w:p>
        </w:tc>
      </w:tr>
      <w:tr w:rsidR="00FF2A1C">
        <w:trPr>
          <w:trHeight w:val="240"/>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境内同业拆入款项</w:t>
            </w:r>
          </w:p>
        </w:tc>
        <w:tc>
          <w:tcPr>
            <w:tcW w:w="26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right"/>
              <w:rPr>
                <w:rFonts w:ascii="仿宋" w:eastAsia="仿宋" w:hAnsi="仿宋"/>
                <w:color w:val="404040"/>
              </w:rPr>
            </w:pPr>
            <w:r>
              <w:rPr>
                <w:rFonts w:ascii="仿宋" w:eastAsia="仿宋" w:hAnsi="仿宋" w:cs="Times New Roman" w:hint="eastAsia"/>
                <w:color w:val="000000"/>
              </w:rPr>
              <w:t>0</w:t>
            </w:r>
          </w:p>
        </w:tc>
        <w:tc>
          <w:tcPr>
            <w:tcW w:w="32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right"/>
              <w:rPr>
                <w:rFonts w:ascii="仿宋" w:eastAsia="仿宋" w:hAnsi="仿宋"/>
                <w:color w:val="404040"/>
              </w:rPr>
            </w:pPr>
            <w:r>
              <w:rPr>
                <w:rFonts w:ascii="仿宋" w:eastAsia="仿宋" w:hAnsi="仿宋" w:cs="Times New Roman" w:hint="eastAsia"/>
                <w:color w:val="000000"/>
              </w:rPr>
              <w:t>0</w:t>
            </w:r>
          </w:p>
        </w:tc>
      </w:tr>
      <w:tr w:rsidR="00FF2A1C">
        <w:trPr>
          <w:trHeight w:val="240"/>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境外同业拆入款项</w:t>
            </w:r>
          </w:p>
        </w:tc>
        <w:tc>
          <w:tcPr>
            <w:tcW w:w="26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right"/>
              <w:rPr>
                <w:rFonts w:ascii="仿宋" w:eastAsia="仿宋" w:hAnsi="仿宋"/>
                <w:color w:val="404040"/>
              </w:rPr>
            </w:pPr>
            <w:r>
              <w:rPr>
                <w:rFonts w:ascii="仿宋" w:eastAsia="仿宋" w:hAnsi="仿宋" w:cs="Times New Roman" w:hint="eastAsia"/>
                <w:color w:val="000000"/>
              </w:rPr>
              <w:t>0</w:t>
            </w:r>
          </w:p>
        </w:tc>
        <w:tc>
          <w:tcPr>
            <w:tcW w:w="3257" w:type="dxa"/>
            <w:tcBorders>
              <w:top w:val="single" w:sz="4" w:space="0" w:color="auto"/>
              <w:left w:val="single" w:sz="4"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right"/>
              <w:rPr>
                <w:rFonts w:ascii="仿宋" w:eastAsia="仿宋" w:hAnsi="仿宋"/>
                <w:color w:val="404040"/>
              </w:rPr>
            </w:pPr>
            <w:r>
              <w:rPr>
                <w:rFonts w:ascii="仿宋" w:eastAsia="仿宋" w:hAnsi="仿宋" w:cs="Times New Roman" w:hint="eastAsia"/>
                <w:color w:val="000000"/>
              </w:rPr>
              <w:t>0</w:t>
            </w:r>
          </w:p>
        </w:tc>
      </w:tr>
    </w:tbl>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2．按发放贷款的担保方式分布情况分析</w:t>
      </w:r>
    </w:p>
    <w:tbl>
      <w:tblPr>
        <w:tblW w:w="8572" w:type="dxa"/>
        <w:jc w:val="center"/>
        <w:tblLayout w:type="fixed"/>
        <w:tblCellMar>
          <w:top w:w="15" w:type="dxa"/>
          <w:left w:w="15" w:type="dxa"/>
          <w:bottom w:w="15" w:type="dxa"/>
          <w:right w:w="15" w:type="dxa"/>
        </w:tblCellMar>
        <w:tblLook w:val="04A0"/>
      </w:tblPr>
      <w:tblGrid>
        <w:gridCol w:w="2000"/>
        <w:gridCol w:w="3280"/>
        <w:gridCol w:w="3292"/>
      </w:tblGrid>
      <w:tr w:rsidR="00FF2A1C">
        <w:trPr>
          <w:trHeight w:val="300"/>
          <w:jc w:val="center"/>
        </w:trPr>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项</w:t>
            </w:r>
            <w:r>
              <w:rPr>
                <w:rFonts w:eastAsia="仿宋" w:cs="Times New Roman" w:hint="eastAsia"/>
                <w:color w:val="000000"/>
              </w:rPr>
              <w:t>   </w:t>
            </w:r>
            <w:r>
              <w:rPr>
                <w:rFonts w:ascii="仿宋" w:eastAsia="仿宋" w:hAnsi="仿宋" w:cs="Times New Roman" w:hint="eastAsia"/>
                <w:color w:val="000000"/>
              </w:rPr>
              <w:t xml:space="preserve"> 目</w:t>
            </w:r>
          </w:p>
        </w:tc>
        <w:tc>
          <w:tcPr>
            <w:tcW w:w="3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2020年12月31日</w:t>
            </w:r>
          </w:p>
        </w:tc>
        <w:tc>
          <w:tcPr>
            <w:tcW w:w="3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2021年12月31日</w:t>
            </w:r>
          </w:p>
        </w:tc>
      </w:tr>
      <w:tr w:rsidR="00FF2A1C">
        <w:trPr>
          <w:trHeight w:val="300"/>
          <w:jc w:val="center"/>
        </w:trPr>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信用贷款</w:t>
            </w:r>
          </w:p>
        </w:tc>
        <w:tc>
          <w:tcPr>
            <w:tcW w:w="3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1746</w:t>
            </w:r>
            <w:r w:rsidR="00D553C4">
              <w:rPr>
                <w:rFonts w:ascii="仿宋" w:eastAsia="仿宋" w:hAnsi="仿宋" w:cs="Times New Roman" w:hint="eastAsia"/>
                <w:color w:val="FF0000"/>
              </w:rPr>
              <w:t>7</w:t>
            </w:r>
          </w:p>
        </w:tc>
        <w:tc>
          <w:tcPr>
            <w:tcW w:w="3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rsidP="00D553C4">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27710</w:t>
            </w:r>
          </w:p>
        </w:tc>
      </w:tr>
      <w:tr w:rsidR="00FF2A1C">
        <w:trPr>
          <w:trHeight w:val="300"/>
          <w:jc w:val="center"/>
        </w:trPr>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保证贷款</w:t>
            </w:r>
          </w:p>
        </w:tc>
        <w:tc>
          <w:tcPr>
            <w:tcW w:w="3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1371</w:t>
            </w:r>
            <w:r w:rsidR="00D553C4">
              <w:rPr>
                <w:rFonts w:ascii="仿宋" w:eastAsia="仿宋" w:hAnsi="仿宋" w:cs="Times New Roman" w:hint="eastAsia"/>
                <w:color w:val="FF0000"/>
              </w:rPr>
              <w:t>2</w:t>
            </w:r>
          </w:p>
        </w:tc>
        <w:tc>
          <w:tcPr>
            <w:tcW w:w="3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rsidP="00D553C4">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11649</w:t>
            </w:r>
          </w:p>
        </w:tc>
      </w:tr>
      <w:tr w:rsidR="00FF2A1C">
        <w:trPr>
          <w:trHeight w:val="300"/>
          <w:jc w:val="center"/>
        </w:trPr>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抵押贷款</w:t>
            </w:r>
          </w:p>
        </w:tc>
        <w:tc>
          <w:tcPr>
            <w:tcW w:w="3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20</w:t>
            </w:r>
          </w:p>
        </w:tc>
        <w:tc>
          <w:tcPr>
            <w:tcW w:w="3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300</w:t>
            </w:r>
          </w:p>
        </w:tc>
      </w:tr>
      <w:tr w:rsidR="00FF2A1C">
        <w:trPr>
          <w:trHeight w:val="300"/>
          <w:jc w:val="center"/>
        </w:trPr>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质押贷款</w:t>
            </w:r>
          </w:p>
        </w:tc>
        <w:tc>
          <w:tcPr>
            <w:tcW w:w="3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FF0000"/>
              </w:rPr>
            </w:pPr>
            <w:r>
              <w:rPr>
                <w:rFonts w:ascii="仿宋" w:eastAsia="仿宋" w:hAnsi="仿宋" w:cs="Times New Roman" w:hint="eastAsia"/>
                <w:color w:val="FF0000"/>
              </w:rPr>
              <w:t>47</w:t>
            </w:r>
          </w:p>
        </w:tc>
        <w:tc>
          <w:tcPr>
            <w:tcW w:w="3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FF0000"/>
              </w:rPr>
            </w:pPr>
            <w:r>
              <w:rPr>
                <w:rFonts w:ascii="仿宋" w:eastAsia="仿宋" w:hAnsi="仿宋" w:cs="Times New Roman" w:hint="eastAsia"/>
                <w:color w:val="FF0000"/>
              </w:rPr>
              <w:t>24</w:t>
            </w:r>
          </w:p>
        </w:tc>
      </w:tr>
      <w:tr w:rsidR="00FF2A1C">
        <w:trPr>
          <w:trHeight w:val="300"/>
          <w:jc w:val="center"/>
        </w:trPr>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贷款总额</w:t>
            </w:r>
          </w:p>
        </w:tc>
        <w:tc>
          <w:tcPr>
            <w:tcW w:w="3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31245</w:t>
            </w:r>
          </w:p>
        </w:tc>
        <w:tc>
          <w:tcPr>
            <w:tcW w:w="3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39683</w:t>
            </w:r>
          </w:p>
        </w:tc>
      </w:tr>
    </w:tbl>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3．不良贷款</w:t>
      </w:r>
    </w:p>
    <w:tbl>
      <w:tblPr>
        <w:tblW w:w="8689" w:type="dxa"/>
        <w:jc w:val="center"/>
        <w:tblLayout w:type="fixed"/>
        <w:tblCellMar>
          <w:top w:w="15" w:type="dxa"/>
          <w:left w:w="15" w:type="dxa"/>
          <w:bottom w:w="15" w:type="dxa"/>
          <w:right w:w="15" w:type="dxa"/>
        </w:tblCellMar>
        <w:tblLook w:val="04A0"/>
      </w:tblPr>
      <w:tblGrid>
        <w:gridCol w:w="2039"/>
        <w:gridCol w:w="3300"/>
        <w:gridCol w:w="3350"/>
      </w:tblGrid>
      <w:tr w:rsidR="00FF2A1C">
        <w:trPr>
          <w:trHeight w:val="300"/>
          <w:jc w:val="center"/>
        </w:trPr>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项</w:t>
            </w:r>
            <w:r>
              <w:rPr>
                <w:rFonts w:eastAsia="仿宋" w:cs="Times New Roman" w:hint="eastAsia"/>
                <w:color w:val="000000"/>
              </w:rPr>
              <w:t>   </w:t>
            </w:r>
            <w:r>
              <w:rPr>
                <w:rFonts w:ascii="仿宋" w:eastAsia="仿宋" w:hAnsi="仿宋" w:cs="Times New Roman" w:hint="eastAsia"/>
                <w:color w:val="000000"/>
              </w:rPr>
              <w:t xml:space="preserve"> 目</w:t>
            </w:r>
          </w:p>
        </w:tc>
        <w:tc>
          <w:tcPr>
            <w:tcW w:w="3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2020年12月31日</w:t>
            </w:r>
          </w:p>
        </w:tc>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2021年12月31日</w:t>
            </w:r>
          </w:p>
        </w:tc>
      </w:tr>
      <w:tr w:rsidR="00FF2A1C">
        <w:trPr>
          <w:trHeight w:val="765"/>
          <w:jc w:val="center"/>
        </w:trPr>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不良贷款</w:t>
            </w:r>
          </w:p>
        </w:tc>
        <w:tc>
          <w:tcPr>
            <w:tcW w:w="3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789</w:t>
            </w:r>
          </w:p>
        </w:tc>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713</w:t>
            </w:r>
          </w:p>
        </w:tc>
      </w:tr>
      <w:tr w:rsidR="00FF2A1C">
        <w:trPr>
          <w:trHeight w:val="880"/>
          <w:jc w:val="center"/>
        </w:trPr>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rPr>
            </w:pPr>
            <w:r>
              <w:rPr>
                <w:rFonts w:ascii="仿宋" w:eastAsia="仿宋" w:hAnsi="仿宋" w:cs="Times New Roman" w:hint="eastAsia"/>
                <w:color w:val="000000"/>
              </w:rPr>
              <w:t>其中：次级贷款</w:t>
            </w:r>
          </w:p>
        </w:tc>
        <w:tc>
          <w:tcPr>
            <w:tcW w:w="3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FF0000"/>
              </w:rPr>
            </w:pPr>
            <w:r>
              <w:rPr>
                <w:rFonts w:ascii="仿宋" w:eastAsia="仿宋" w:hAnsi="仿宋" w:cs="Times New Roman" w:hint="eastAsia"/>
                <w:color w:val="FF0000"/>
              </w:rPr>
              <w:t>14</w:t>
            </w:r>
          </w:p>
        </w:tc>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FF0000"/>
              </w:rPr>
            </w:pPr>
            <w:r>
              <w:rPr>
                <w:rFonts w:ascii="仿宋" w:eastAsia="仿宋" w:hAnsi="仿宋" w:cs="Times New Roman" w:hint="eastAsia"/>
                <w:color w:val="FF0000"/>
              </w:rPr>
              <w:t>2</w:t>
            </w:r>
          </w:p>
        </w:tc>
      </w:tr>
      <w:tr w:rsidR="00FF2A1C">
        <w:trPr>
          <w:trHeight w:val="850"/>
          <w:jc w:val="center"/>
        </w:trPr>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rPr>
                <w:rFonts w:ascii="仿宋" w:eastAsia="仿宋" w:hAnsi="仿宋"/>
                <w:color w:val="404040"/>
              </w:rPr>
            </w:pPr>
            <w:r>
              <w:rPr>
                <w:rFonts w:ascii="Times New Roman" w:eastAsia="仿宋" w:hAnsi="Times New Roman" w:cs="Times New Roman"/>
                <w:color w:val="404040"/>
              </w:rPr>
              <w:t>      </w:t>
            </w:r>
            <w:r>
              <w:rPr>
                <w:rFonts w:ascii="仿宋" w:eastAsia="仿宋" w:hAnsi="仿宋" w:cs="Times New Roman" w:hint="eastAsia"/>
                <w:color w:val="000000"/>
              </w:rPr>
              <w:t>可疑贷款</w:t>
            </w:r>
          </w:p>
        </w:tc>
        <w:tc>
          <w:tcPr>
            <w:tcW w:w="3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775</w:t>
            </w:r>
          </w:p>
        </w:tc>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pPr>
              <w:pStyle w:val="a7"/>
              <w:spacing w:before="0" w:beforeAutospacing="0" w:after="0" w:afterAutospacing="0" w:line="600" w:lineRule="exact"/>
              <w:ind w:firstLineChars="200" w:firstLine="480"/>
              <w:jc w:val="center"/>
              <w:rPr>
                <w:rFonts w:ascii="仿宋" w:eastAsia="仿宋" w:hAnsi="仿宋"/>
                <w:color w:val="FF0000"/>
              </w:rPr>
            </w:pPr>
            <w:r>
              <w:rPr>
                <w:rFonts w:ascii="仿宋" w:eastAsia="仿宋" w:hAnsi="仿宋" w:cs="Times New Roman" w:hint="eastAsia"/>
                <w:color w:val="FF0000"/>
              </w:rPr>
              <w:t>71</w:t>
            </w:r>
            <w:r w:rsidR="00F07455">
              <w:rPr>
                <w:rFonts w:ascii="仿宋" w:eastAsia="仿宋" w:hAnsi="仿宋" w:cs="Times New Roman" w:hint="eastAsia"/>
                <w:color w:val="FF0000"/>
              </w:rPr>
              <w:t>1</w:t>
            </w:r>
          </w:p>
        </w:tc>
      </w:tr>
      <w:tr w:rsidR="00FF2A1C">
        <w:trPr>
          <w:trHeight w:val="960"/>
          <w:jc w:val="center"/>
        </w:trPr>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right"/>
              <w:rPr>
                <w:rFonts w:ascii="仿宋" w:eastAsia="仿宋" w:hAnsi="仿宋"/>
                <w:color w:val="404040"/>
              </w:rPr>
            </w:pPr>
            <w:r>
              <w:rPr>
                <w:rFonts w:ascii="仿宋" w:eastAsia="仿宋" w:hAnsi="仿宋" w:cs="Times New Roman" w:hint="eastAsia"/>
                <w:color w:val="000000"/>
              </w:rPr>
              <w:t>损失贷款</w:t>
            </w:r>
          </w:p>
        </w:tc>
        <w:tc>
          <w:tcPr>
            <w:tcW w:w="3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236B06">
            <w:pPr>
              <w:pStyle w:val="a7"/>
              <w:spacing w:before="0" w:beforeAutospacing="0" w:after="0" w:afterAutospacing="0" w:line="600" w:lineRule="exact"/>
              <w:ind w:firstLineChars="200" w:firstLine="480"/>
              <w:jc w:val="right"/>
              <w:rPr>
                <w:rFonts w:ascii="仿宋" w:eastAsia="仿宋" w:hAnsi="仿宋"/>
                <w:color w:val="404040"/>
              </w:rPr>
            </w:pPr>
            <w:r>
              <w:rPr>
                <w:rFonts w:eastAsia="仿宋" w:cs="Times New Roman" w:hint="eastAsia"/>
                <w:color w:val="000000"/>
              </w:rPr>
              <w:t>                </w:t>
            </w:r>
          </w:p>
        </w:tc>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F2A1C" w:rsidRDefault="00FF2A1C">
            <w:pPr>
              <w:pStyle w:val="a7"/>
              <w:spacing w:before="0" w:beforeAutospacing="0" w:after="0" w:afterAutospacing="0" w:line="600" w:lineRule="exact"/>
              <w:ind w:firstLineChars="200" w:firstLine="480"/>
              <w:jc w:val="right"/>
              <w:rPr>
                <w:rFonts w:ascii="仿宋" w:eastAsia="仿宋" w:hAnsi="仿宋"/>
                <w:color w:val="404040"/>
                <w:highlight w:val="yellow"/>
              </w:rPr>
            </w:pPr>
          </w:p>
        </w:tc>
      </w:tr>
    </w:tbl>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lastRenderedPageBreak/>
        <w:t>4．贷款损失准备</w:t>
      </w:r>
    </w:p>
    <w:tbl>
      <w:tblPr>
        <w:tblW w:w="8522" w:type="dxa"/>
        <w:jc w:val="center"/>
        <w:tblLayout w:type="fixed"/>
        <w:tblCellMar>
          <w:top w:w="15" w:type="dxa"/>
          <w:left w:w="15" w:type="dxa"/>
          <w:bottom w:w="15" w:type="dxa"/>
          <w:right w:w="15" w:type="dxa"/>
        </w:tblCellMar>
        <w:tblLook w:val="04A0"/>
      </w:tblPr>
      <w:tblGrid>
        <w:gridCol w:w="2755"/>
        <w:gridCol w:w="2812"/>
        <w:gridCol w:w="2955"/>
      </w:tblGrid>
      <w:tr w:rsidR="00FF2A1C">
        <w:trPr>
          <w:trHeight w:val="300"/>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项</w:t>
            </w:r>
            <w:r>
              <w:rPr>
                <w:rFonts w:eastAsia="仿宋" w:cs="Times New Roman" w:hint="eastAsia"/>
                <w:color w:val="000000"/>
              </w:rPr>
              <w:t>   </w:t>
            </w:r>
            <w:r>
              <w:rPr>
                <w:rFonts w:ascii="仿宋" w:eastAsia="仿宋" w:hAnsi="仿宋" w:cs="Times New Roman" w:hint="eastAsia"/>
                <w:color w:val="000000"/>
              </w:rPr>
              <w:t xml:space="preserve"> 目</w:t>
            </w:r>
          </w:p>
        </w:tc>
        <w:tc>
          <w:tcPr>
            <w:tcW w:w="2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2020年12月31日</w:t>
            </w:r>
          </w:p>
        </w:tc>
        <w:tc>
          <w:tcPr>
            <w:tcW w:w="29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2021年12月31日</w:t>
            </w:r>
          </w:p>
        </w:tc>
      </w:tr>
      <w:tr w:rsidR="00FF2A1C">
        <w:trPr>
          <w:trHeight w:val="300"/>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rPr>
                <w:rFonts w:ascii="仿宋" w:eastAsia="仿宋" w:hAnsi="仿宋"/>
                <w:color w:val="404040"/>
              </w:rPr>
            </w:pPr>
            <w:r>
              <w:rPr>
                <w:rFonts w:ascii="仿宋" w:eastAsia="仿宋" w:hAnsi="仿宋" w:cs="Times New Roman" w:hint="eastAsia"/>
                <w:color w:val="000000"/>
              </w:rPr>
              <w:t>年初余额</w:t>
            </w:r>
          </w:p>
        </w:tc>
        <w:tc>
          <w:tcPr>
            <w:tcW w:w="2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cs="Times New Roman" w:hint="eastAsia"/>
                <w:color w:val="FF0000"/>
              </w:rPr>
              <w:t>114</w:t>
            </w:r>
            <w:r w:rsidR="00F07455">
              <w:rPr>
                <w:rFonts w:ascii="仿宋" w:eastAsia="仿宋" w:hAnsi="仿宋" w:cs="Times New Roman" w:hint="eastAsia"/>
                <w:color w:val="FF0000"/>
              </w:rPr>
              <w:t>7</w:t>
            </w:r>
          </w:p>
        </w:tc>
        <w:tc>
          <w:tcPr>
            <w:tcW w:w="29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rsidP="00F07455">
            <w:pPr>
              <w:pStyle w:val="a7"/>
              <w:spacing w:before="0" w:beforeAutospacing="0" w:after="0" w:afterAutospacing="0"/>
              <w:jc w:val="right"/>
              <w:rPr>
                <w:rFonts w:ascii="仿宋" w:eastAsia="仿宋" w:hAnsi="仿宋"/>
                <w:color w:val="404040"/>
              </w:rPr>
            </w:pPr>
            <w:r>
              <w:rPr>
                <w:rFonts w:ascii="仿宋" w:eastAsia="仿宋" w:hAnsi="仿宋" w:cs="Times New Roman" w:hint="eastAsia"/>
                <w:color w:val="FF0000"/>
              </w:rPr>
              <w:t>1260</w:t>
            </w:r>
          </w:p>
        </w:tc>
      </w:tr>
      <w:tr w:rsidR="00FF2A1C">
        <w:trPr>
          <w:trHeight w:val="300"/>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rPr>
                <w:rFonts w:ascii="仿宋" w:eastAsia="仿宋" w:hAnsi="仿宋"/>
                <w:color w:val="404040"/>
              </w:rPr>
            </w:pPr>
            <w:r>
              <w:rPr>
                <w:rFonts w:ascii="仿宋" w:eastAsia="仿宋" w:hAnsi="仿宋" w:cs="Times New Roman" w:hint="eastAsia"/>
                <w:color w:val="000000"/>
              </w:rPr>
              <w:t>其中：一般准备</w:t>
            </w:r>
          </w:p>
        </w:tc>
        <w:tc>
          <w:tcPr>
            <w:tcW w:w="2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hint="eastAsia"/>
                <w:color w:val="FF0000"/>
              </w:rPr>
              <w:t>51</w:t>
            </w:r>
            <w:r w:rsidR="00F07455">
              <w:rPr>
                <w:rFonts w:ascii="仿宋" w:eastAsia="仿宋" w:hAnsi="仿宋" w:hint="eastAsia"/>
                <w:color w:val="FF0000"/>
              </w:rPr>
              <w:t>3</w:t>
            </w:r>
          </w:p>
        </w:tc>
        <w:tc>
          <w:tcPr>
            <w:tcW w:w="29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rsidP="00F07455">
            <w:pPr>
              <w:pStyle w:val="a7"/>
              <w:spacing w:before="0" w:beforeAutospacing="0" w:after="0" w:afterAutospacing="0"/>
              <w:jc w:val="right"/>
              <w:rPr>
                <w:rFonts w:ascii="仿宋" w:eastAsia="仿宋" w:hAnsi="仿宋"/>
                <w:color w:val="404040"/>
              </w:rPr>
            </w:pPr>
            <w:r>
              <w:rPr>
                <w:rFonts w:ascii="仿宋" w:eastAsia="仿宋" w:hAnsi="仿宋" w:hint="eastAsia"/>
                <w:color w:val="FF0000"/>
              </w:rPr>
              <w:t>563</w:t>
            </w:r>
          </w:p>
        </w:tc>
      </w:tr>
      <w:tr w:rsidR="00FF2A1C">
        <w:trPr>
          <w:trHeight w:val="300"/>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rPr>
                <w:rFonts w:ascii="仿宋" w:eastAsia="仿宋" w:hAnsi="仿宋"/>
                <w:color w:val="404040"/>
              </w:rPr>
            </w:pPr>
            <w:r>
              <w:rPr>
                <w:rFonts w:ascii="Times New Roman" w:eastAsia="仿宋" w:hAnsi="Times New Roman" w:cs="Times New Roman"/>
                <w:color w:val="404040"/>
              </w:rPr>
              <w:t>     </w:t>
            </w:r>
            <w:r>
              <w:rPr>
                <w:rStyle w:val="apple-converted-space"/>
                <w:rFonts w:ascii="Times New Roman" w:eastAsia="仿宋" w:hAnsi="Times New Roman" w:cs="Times New Roman"/>
                <w:color w:val="404040"/>
              </w:rPr>
              <w:t> </w:t>
            </w:r>
            <w:r>
              <w:rPr>
                <w:rFonts w:ascii="仿宋" w:eastAsia="仿宋" w:hAnsi="仿宋" w:cs="Times New Roman" w:hint="eastAsia"/>
                <w:color w:val="000000"/>
              </w:rPr>
              <w:t>专项准备</w:t>
            </w:r>
          </w:p>
        </w:tc>
        <w:tc>
          <w:tcPr>
            <w:tcW w:w="2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hint="eastAsia"/>
                <w:color w:val="FF0000"/>
              </w:rPr>
              <w:t>63</w:t>
            </w:r>
            <w:r w:rsidR="00F07455">
              <w:rPr>
                <w:rFonts w:ascii="仿宋" w:eastAsia="仿宋" w:hAnsi="仿宋" w:hint="eastAsia"/>
                <w:color w:val="FF0000"/>
              </w:rPr>
              <w:t>4</w:t>
            </w:r>
          </w:p>
        </w:tc>
        <w:tc>
          <w:tcPr>
            <w:tcW w:w="2955"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hint="eastAsia"/>
                <w:color w:val="FF0000"/>
              </w:rPr>
              <w:t>69</w:t>
            </w:r>
            <w:r w:rsidR="00F07455">
              <w:rPr>
                <w:rFonts w:ascii="仿宋" w:eastAsia="仿宋" w:hAnsi="仿宋" w:hint="eastAsia"/>
                <w:color w:val="FF0000"/>
              </w:rPr>
              <w:t>7</w:t>
            </w:r>
          </w:p>
        </w:tc>
      </w:tr>
      <w:tr w:rsidR="00FF2A1C">
        <w:trPr>
          <w:trHeight w:val="300"/>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rPr>
                <w:rFonts w:ascii="仿宋" w:eastAsia="仿宋" w:hAnsi="仿宋"/>
                <w:color w:val="404040"/>
              </w:rPr>
            </w:pPr>
            <w:r>
              <w:rPr>
                <w:rFonts w:ascii="Times New Roman" w:eastAsia="仿宋" w:hAnsi="Times New Roman" w:cs="Times New Roman"/>
                <w:color w:val="404040"/>
              </w:rPr>
              <w:t>     </w:t>
            </w:r>
            <w:r>
              <w:rPr>
                <w:rStyle w:val="apple-converted-space"/>
                <w:rFonts w:ascii="Times New Roman" w:eastAsia="仿宋" w:hAnsi="Times New Roman" w:cs="Times New Roman"/>
                <w:color w:val="404040"/>
              </w:rPr>
              <w:t> </w:t>
            </w:r>
            <w:r>
              <w:rPr>
                <w:rFonts w:ascii="仿宋" w:eastAsia="仿宋" w:hAnsi="仿宋" w:cs="Times New Roman" w:hint="eastAsia"/>
                <w:color w:val="000000"/>
              </w:rPr>
              <w:t>特种准备</w:t>
            </w:r>
          </w:p>
        </w:tc>
        <w:tc>
          <w:tcPr>
            <w:tcW w:w="2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cs="Times New Roman" w:hint="eastAsia"/>
                <w:color w:val="FF0000"/>
              </w:rPr>
              <w:t>0</w:t>
            </w:r>
          </w:p>
        </w:tc>
        <w:tc>
          <w:tcPr>
            <w:tcW w:w="29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cs="Times New Roman" w:hint="eastAsia"/>
                <w:color w:val="FF0000"/>
              </w:rPr>
              <w:t>0</w:t>
            </w:r>
          </w:p>
        </w:tc>
      </w:tr>
      <w:tr w:rsidR="00FF2A1C">
        <w:trPr>
          <w:trHeight w:val="336"/>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本年计提（一般准备）</w:t>
            </w:r>
          </w:p>
        </w:tc>
        <w:tc>
          <w:tcPr>
            <w:tcW w:w="2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hint="eastAsia"/>
                <w:color w:val="FF0000"/>
              </w:rPr>
              <w:t>5</w:t>
            </w:r>
            <w:r w:rsidR="00F07455">
              <w:rPr>
                <w:rFonts w:ascii="仿宋" w:eastAsia="仿宋" w:hAnsi="仿宋" w:hint="eastAsia"/>
                <w:color w:val="FF0000"/>
              </w:rPr>
              <w:t>1</w:t>
            </w:r>
          </w:p>
        </w:tc>
        <w:tc>
          <w:tcPr>
            <w:tcW w:w="29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hint="eastAsia"/>
                <w:color w:val="FF0000"/>
              </w:rPr>
              <w:t>11</w:t>
            </w:r>
            <w:r w:rsidR="00F07455">
              <w:rPr>
                <w:rFonts w:ascii="仿宋" w:eastAsia="仿宋" w:hAnsi="仿宋" w:hint="eastAsia"/>
                <w:color w:val="FF0000"/>
              </w:rPr>
              <w:t>8</w:t>
            </w:r>
          </w:p>
        </w:tc>
      </w:tr>
      <w:tr w:rsidR="00FF2A1C">
        <w:trPr>
          <w:trHeight w:val="425"/>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本年计提（专项准备）</w:t>
            </w:r>
          </w:p>
        </w:tc>
        <w:tc>
          <w:tcPr>
            <w:tcW w:w="2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hint="eastAsia"/>
                <w:color w:val="FF0000"/>
              </w:rPr>
              <w:t>6</w:t>
            </w:r>
            <w:r w:rsidR="00F07455">
              <w:rPr>
                <w:rFonts w:ascii="仿宋" w:eastAsia="仿宋" w:hAnsi="仿宋" w:hint="eastAsia"/>
                <w:color w:val="FF0000"/>
              </w:rPr>
              <w:t>3</w:t>
            </w:r>
          </w:p>
        </w:tc>
        <w:tc>
          <w:tcPr>
            <w:tcW w:w="2955" w:type="dxa"/>
            <w:tcBorders>
              <w:top w:val="single" w:sz="4" w:space="0" w:color="auto"/>
              <w:left w:val="single" w:sz="4"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hint="eastAsia"/>
                <w:color w:val="FF0000"/>
              </w:rPr>
              <w:t>5</w:t>
            </w:r>
            <w:r w:rsidR="00F07455">
              <w:rPr>
                <w:rFonts w:ascii="仿宋" w:eastAsia="仿宋" w:hAnsi="仿宋" w:hint="eastAsia"/>
                <w:color w:val="FF0000"/>
              </w:rPr>
              <w:t>2</w:t>
            </w:r>
          </w:p>
        </w:tc>
      </w:tr>
      <w:tr w:rsidR="00FF2A1C">
        <w:trPr>
          <w:trHeight w:val="300"/>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本年核销</w:t>
            </w:r>
          </w:p>
        </w:tc>
        <w:tc>
          <w:tcPr>
            <w:tcW w:w="2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cs="Times New Roman" w:hint="eastAsia"/>
                <w:color w:val="FF0000"/>
              </w:rPr>
              <w:t>0</w:t>
            </w:r>
          </w:p>
        </w:tc>
        <w:tc>
          <w:tcPr>
            <w:tcW w:w="2955" w:type="dxa"/>
            <w:tcBorders>
              <w:top w:val="nil"/>
              <w:left w:val="single" w:sz="4"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cs="Times New Roman" w:hint="eastAsia"/>
                <w:color w:val="FF0000"/>
              </w:rPr>
              <w:t>0</w:t>
            </w:r>
          </w:p>
        </w:tc>
      </w:tr>
      <w:tr w:rsidR="00FF2A1C">
        <w:trPr>
          <w:trHeight w:val="300"/>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本年转回</w:t>
            </w:r>
          </w:p>
        </w:tc>
        <w:tc>
          <w:tcPr>
            <w:tcW w:w="2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cs="Times New Roman" w:hint="eastAsia"/>
                <w:color w:val="FF0000"/>
              </w:rPr>
              <w:t>0</w:t>
            </w:r>
          </w:p>
        </w:tc>
        <w:tc>
          <w:tcPr>
            <w:tcW w:w="2955" w:type="dxa"/>
            <w:tcBorders>
              <w:top w:val="nil"/>
              <w:left w:val="single" w:sz="4"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right"/>
              <w:rPr>
                <w:rFonts w:ascii="仿宋" w:eastAsia="仿宋" w:hAnsi="仿宋"/>
                <w:color w:val="404040"/>
              </w:rPr>
            </w:pPr>
            <w:r>
              <w:rPr>
                <w:rFonts w:ascii="仿宋" w:eastAsia="仿宋" w:hAnsi="仿宋" w:cs="Times New Roman" w:hint="eastAsia"/>
                <w:color w:val="FF0000"/>
              </w:rPr>
              <w:t>0</w:t>
            </w:r>
          </w:p>
        </w:tc>
      </w:tr>
      <w:tr w:rsidR="00FF2A1C">
        <w:trPr>
          <w:trHeight w:val="300"/>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年末余额</w:t>
            </w:r>
          </w:p>
        </w:tc>
        <w:tc>
          <w:tcPr>
            <w:tcW w:w="2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rsidP="00F07455">
            <w:pPr>
              <w:pStyle w:val="a7"/>
              <w:spacing w:before="0" w:beforeAutospacing="0" w:after="0" w:afterAutospacing="0"/>
              <w:jc w:val="right"/>
              <w:rPr>
                <w:rFonts w:ascii="仿宋" w:eastAsia="仿宋" w:hAnsi="仿宋"/>
                <w:color w:val="404040"/>
              </w:rPr>
            </w:pPr>
            <w:r>
              <w:rPr>
                <w:rFonts w:ascii="仿宋" w:eastAsia="仿宋" w:hAnsi="仿宋" w:cs="Times New Roman" w:hint="eastAsia"/>
                <w:color w:val="FF0000"/>
              </w:rPr>
              <w:t>1260</w:t>
            </w:r>
          </w:p>
        </w:tc>
        <w:tc>
          <w:tcPr>
            <w:tcW w:w="2955" w:type="dxa"/>
            <w:tcBorders>
              <w:top w:val="nil"/>
              <w:left w:val="single" w:sz="4"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FF2A1C" w:rsidRDefault="00236B06" w:rsidP="00F07455">
            <w:pPr>
              <w:pStyle w:val="a7"/>
              <w:spacing w:before="0" w:beforeAutospacing="0" w:after="0" w:afterAutospacing="0"/>
              <w:jc w:val="right"/>
              <w:rPr>
                <w:rFonts w:ascii="仿宋" w:eastAsia="仿宋" w:hAnsi="仿宋"/>
                <w:color w:val="404040"/>
              </w:rPr>
            </w:pPr>
            <w:r>
              <w:rPr>
                <w:rFonts w:ascii="仿宋" w:eastAsia="仿宋" w:hAnsi="仿宋" w:cs="Times New Roman" w:hint="eastAsia"/>
                <w:color w:val="FF0000"/>
              </w:rPr>
              <w:t>1430</w:t>
            </w:r>
          </w:p>
        </w:tc>
      </w:tr>
    </w:tbl>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5．应收、应付利息</w:t>
      </w:r>
    </w:p>
    <w:tbl>
      <w:tblPr>
        <w:tblW w:w="8808" w:type="dxa"/>
        <w:jc w:val="center"/>
        <w:tblLayout w:type="fixed"/>
        <w:tblCellMar>
          <w:top w:w="15" w:type="dxa"/>
          <w:left w:w="15" w:type="dxa"/>
          <w:bottom w:w="15" w:type="dxa"/>
          <w:right w:w="15" w:type="dxa"/>
        </w:tblCellMar>
        <w:tblLook w:val="04A0"/>
      </w:tblPr>
      <w:tblGrid>
        <w:gridCol w:w="2148"/>
        <w:gridCol w:w="1560"/>
        <w:gridCol w:w="1560"/>
        <w:gridCol w:w="1560"/>
        <w:gridCol w:w="1980"/>
      </w:tblGrid>
      <w:tr w:rsidR="00FF2A1C">
        <w:trPr>
          <w:trHeight w:val="240"/>
          <w:jc w:val="center"/>
        </w:trPr>
        <w:tc>
          <w:tcPr>
            <w:tcW w:w="21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rPr>
                <w:rFonts w:ascii="仿宋" w:eastAsia="仿宋" w:hAnsi="仿宋"/>
                <w:color w:val="404040"/>
              </w:rPr>
            </w:pPr>
            <w:r>
              <w:rPr>
                <w:rFonts w:ascii="仿宋" w:eastAsia="仿宋" w:hAnsi="仿宋" w:cs="Times New Roman" w:hint="eastAsia"/>
                <w:color w:val="000000"/>
              </w:rPr>
              <w:t>项</w:t>
            </w:r>
            <w:r>
              <w:rPr>
                <w:rFonts w:eastAsia="仿宋" w:cs="Times New Roman" w:hint="eastAsia"/>
                <w:color w:val="000000"/>
              </w:rPr>
              <w:t>   </w:t>
            </w:r>
            <w:r>
              <w:rPr>
                <w:rFonts w:ascii="仿宋" w:eastAsia="仿宋" w:hAnsi="仿宋" w:cs="Times New Roman" w:hint="eastAsia"/>
                <w:color w:val="000000"/>
              </w:rPr>
              <w:t>目</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100" w:firstLine="240"/>
              <w:jc w:val="both"/>
              <w:rPr>
                <w:rFonts w:ascii="仿宋" w:eastAsia="仿宋" w:hAnsi="仿宋"/>
                <w:color w:val="404040"/>
              </w:rPr>
            </w:pPr>
            <w:r>
              <w:rPr>
                <w:rFonts w:ascii="仿宋" w:eastAsia="仿宋" w:hAnsi="仿宋" w:cs="Times New Roman" w:hint="eastAsia"/>
                <w:color w:val="000000"/>
              </w:rPr>
              <w:t>年初余额</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100" w:firstLine="240"/>
              <w:jc w:val="both"/>
              <w:rPr>
                <w:rFonts w:ascii="仿宋" w:eastAsia="仿宋" w:hAnsi="仿宋"/>
                <w:color w:val="404040"/>
              </w:rPr>
            </w:pPr>
            <w:r>
              <w:rPr>
                <w:rFonts w:ascii="仿宋" w:eastAsia="仿宋" w:hAnsi="仿宋" w:cs="Times New Roman" w:hint="eastAsia"/>
                <w:color w:val="000000"/>
              </w:rPr>
              <w:t>本期增加</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100" w:firstLine="240"/>
              <w:jc w:val="both"/>
              <w:rPr>
                <w:rFonts w:ascii="仿宋" w:eastAsia="仿宋" w:hAnsi="仿宋"/>
                <w:color w:val="404040"/>
              </w:rPr>
            </w:pPr>
            <w:r>
              <w:rPr>
                <w:rFonts w:ascii="仿宋" w:eastAsia="仿宋" w:hAnsi="仿宋" w:cs="Times New Roman" w:hint="eastAsia"/>
                <w:color w:val="000000"/>
              </w:rPr>
              <w:t>本期减少</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年未余额</w:t>
            </w:r>
          </w:p>
        </w:tc>
      </w:tr>
      <w:tr w:rsidR="00FF2A1C">
        <w:trPr>
          <w:trHeight w:val="240"/>
          <w:jc w:val="center"/>
        </w:trPr>
        <w:tc>
          <w:tcPr>
            <w:tcW w:w="21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应收利息合计</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1.</w:t>
            </w:r>
            <w:r w:rsidR="00F07455">
              <w:rPr>
                <w:rFonts w:ascii="仿宋" w:eastAsia="仿宋" w:hAnsi="仿宋" w:cs="Times New Roman" w:hint="eastAsia"/>
                <w:color w:val="FF0000"/>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rsidP="00F07455">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299</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29</w:t>
            </w:r>
            <w:r w:rsidR="00F07455">
              <w:rPr>
                <w:rFonts w:ascii="仿宋" w:eastAsia="仿宋" w:hAnsi="仿宋" w:cs="Times New Roman" w:hint="eastAsia"/>
                <w:color w:val="FF0000"/>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rsidP="00F07455">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8</w:t>
            </w:r>
          </w:p>
        </w:tc>
      </w:tr>
      <w:tr w:rsidR="00FF2A1C">
        <w:trPr>
          <w:trHeight w:val="240"/>
          <w:jc w:val="center"/>
        </w:trPr>
        <w:tc>
          <w:tcPr>
            <w:tcW w:w="21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应付利息合计</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77</w:t>
            </w:r>
            <w:r w:rsidR="00F07455">
              <w:rPr>
                <w:rFonts w:ascii="仿宋" w:eastAsia="仿宋" w:hAnsi="仿宋" w:cs="Times New Roman" w:hint="eastAsia"/>
                <w:color w:val="FF000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127</w:t>
            </w:r>
            <w:r w:rsidR="00F07455">
              <w:rPr>
                <w:rFonts w:ascii="仿宋" w:eastAsia="仿宋" w:hAnsi="仿宋" w:cs="Times New Roman" w:hint="eastAsia"/>
                <w:color w:val="FF0000"/>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rsidP="00F07455">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720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2A1C" w:rsidRDefault="00236B06" w:rsidP="00F07455">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1327</w:t>
            </w:r>
          </w:p>
        </w:tc>
      </w:tr>
    </w:tbl>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应付利息计提方法：按企业会计准则进行计提。</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6．投资情况</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报告期内，本行没有对外投资情况，余额为0。</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7．资本充足状况</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159"/>
        <w:gridCol w:w="3739"/>
      </w:tblGrid>
      <w:tr w:rsidR="00FF2A1C">
        <w:trPr>
          <w:trHeight w:val="398"/>
          <w:jc w:val="center"/>
        </w:trPr>
        <w:tc>
          <w:tcPr>
            <w:tcW w:w="5159" w:type="dxa"/>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项目/结构</w:t>
            </w:r>
          </w:p>
        </w:tc>
        <w:tc>
          <w:tcPr>
            <w:tcW w:w="3739" w:type="dxa"/>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余额</w:t>
            </w:r>
          </w:p>
        </w:tc>
      </w:tr>
      <w:tr w:rsidR="00FF2A1C">
        <w:trPr>
          <w:trHeight w:val="158"/>
          <w:jc w:val="center"/>
        </w:trPr>
        <w:tc>
          <w:tcPr>
            <w:tcW w:w="5159"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rPr>
                <w:rFonts w:ascii="仿宋" w:eastAsia="仿宋" w:hAnsi="仿宋"/>
                <w:color w:val="404040"/>
              </w:rPr>
            </w:pPr>
            <w:r>
              <w:rPr>
                <w:rFonts w:ascii="仿宋" w:eastAsia="仿宋" w:hAnsi="仿宋" w:cs="Times New Roman" w:hint="eastAsia"/>
                <w:color w:val="000000"/>
              </w:rPr>
              <w:t>一、资本净额</w:t>
            </w:r>
          </w:p>
        </w:tc>
        <w:tc>
          <w:tcPr>
            <w:tcW w:w="3739"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737</w:t>
            </w:r>
            <w:r w:rsidR="00F07455">
              <w:rPr>
                <w:rFonts w:ascii="仿宋" w:eastAsia="仿宋" w:hAnsi="仿宋" w:cs="Times New Roman" w:hint="eastAsia"/>
                <w:color w:val="FF0000"/>
              </w:rPr>
              <w:t>1</w:t>
            </w:r>
          </w:p>
        </w:tc>
      </w:tr>
      <w:tr w:rsidR="00FF2A1C">
        <w:trPr>
          <w:trHeight w:val="310"/>
          <w:jc w:val="center"/>
        </w:trPr>
        <w:tc>
          <w:tcPr>
            <w:tcW w:w="5159"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rPr>
                <w:rFonts w:ascii="仿宋" w:eastAsia="仿宋" w:hAnsi="仿宋"/>
                <w:color w:val="404040"/>
              </w:rPr>
            </w:pPr>
            <w:r>
              <w:rPr>
                <w:rFonts w:ascii="仿宋" w:eastAsia="仿宋" w:hAnsi="仿宋" w:cs="Times New Roman" w:hint="eastAsia"/>
                <w:color w:val="000000"/>
              </w:rPr>
              <w:t>1、一级资本净额</w:t>
            </w:r>
          </w:p>
        </w:tc>
        <w:tc>
          <w:tcPr>
            <w:tcW w:w="3739" w:type="dxa"/>
            <w:shd w:val="clear" w:color="auto" w:fill="FFFFFF"/>
            <w:tcMar>
              <w:top w:w="0" w:type="dxa"/>
              <w:left w:w="108" w:type="dxa"/>
              <w:bottom w:w="0" w:type="dxa"/>
              <w:right w:w="108" w:type="dxa"/>
            </w:tcMar>
            <w:vAlign w:val="bottom"/>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6899</w:t>
            </w:r>
          </w:p>
        </w:tc>
      </w:tr>
      <w:tr w:rsidR="00FF2A1C">
        <w:trPr>
          <w:trHeight w:val="310"/>
          <w:jc w:val="center"/>
        </w:trPr>
        <w:tc>
          <w:tcPr>
            <w:tcW w:w="5159"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rPr>
                <w:rFonts w:ascii="仿宋" w:eastAsia="仿宋" w:hAnsi="仿宋"/>
                <w:color w:val="404040"/>
              </w:rPr>
            </w:pPr>
            <w:r>
              <w:rPr>
                <w:rFonts w:ascii="仿宋" w:eastAsia="仿宋" w:hAnsi="仿宋" w:cs="Times New Roman" w:hint="eastAsia"/>
                <w:color w:val="000000"/>
              </w:rPr>
              <w:lastRenderedPageBreak/>
              <w:t>2、二级资本</w:t>
            </w:r>
          </w:p>
        </w:tc>
        <w:tc>
          <w:tcPr>
            <w:tcW w:w="3739" w:type="dxa"/>
            <w:shd w:val="clear" w:color="auto" w:fill="FFFFFF"/>
            <w:tcMar>
              <w:top w:w="0" w:type="dxa"/>
              <w:left w:w="108" w:type="dxa"/>
              <w:bottom w:w="0" w:type="dxa"/>
              <w:right w:w="108" w:type="dxa"/>
            </w:tcMar>
            <w:vAlign w:val="bottom"/>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hint="eastAsia"/>
                <w:color w:val="FF0000"/>
              </w:rPr>
              <w:t>0</w:t>
            </w:r>
          </w:p>
        </w:tc>
      </w:tr>
      <w:tr w:rsidR="00FF2A1C">
        <w:trPr>
          <w:trHeight w:val="310"/>
          <w:jc w:val="center"/>
        </w:trPr>
        <w:tc>
          <w:tcPr>
            <w:tcW w:w="5159"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000000"/>
              </w:rPr>
              <w:t>二、风险资产总额（应用资本底线及校准后的风险加权资产合计）</w:t>
            </w:r>
          </w:p>
        </w:tc>
        <w:tc>
          <w:tcPr>
            <w:tcW w:w="3739" w:type="dxa"/>
            <w:shd w:val="clear" w:color="auto" w:fill="FFFFFF"/>
            <w:tcMar>
              <w:top w:w="0" w:type="dxa"/>
              <w:left w:w="108" w:type="dxa"/>
              <w:bottom w:w="0" w:type="dxa"/>
              <w:right w:w="108" w:type="dxa"/>
            </w:tcMar>
            <w:vAlign w:val="bottom"/>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4241</w:t>
            </w:r>
            <w:r w:rsidR="00F07455">
              <w:rPr>
                <w:rFonts w:ascii="仿宋" w:eastAsia="仿宋" w:hAnsi="仿宋" w:cs="Times New Roman" w:hint="eastAsia"/>
                <w:color w:val="FF0000"/>
              </w:rPr>
              <w:t>2</w:t>
            </w:r>
          </w:p>
        </w:tc>
      </w:tr>
      <w:tr w:rsidR="00FF2A1C">
        <w:trPr>
          <w:trHeight w:val="310"/>
          <w:jc w:val="center"/>
        </w:trPr>
        <w:tc>
          <w:tcPr>
            <w:tcW w:w="5159"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rPr>
                <w:rFonts w:ascii="仿宋" w:eastAsia="仿宋" w:hAnsi="仿宋"/>
                <w:color w:val="404040"/>
              </w:rPr>
            </w:pPr>
            <w:r>
              <w:rPr>
                <w:rFonts w:ascii="仿宋" w:eastAsia="仿宋" w:hAnsi="仿宋" w:cs="Times New Roman" w:hint="eastAsia"/>
                <w:color w:val="000000"/>
              </w:rPr>
              <w:t>三、核心资本充足率</w:t>
            </w:r>
          </w:p>
        </w:tc>
        <w:tc>
          <w:tcPr>
            <w:tcW w:w="3739" w:type="dxa"/>
            <w:shd w:val="clear" w:color="auto" w:fill="FFFFFF"/>
            <w:tcMar>
              <w:top w:w="0" w:type="dxa"/>
              <w:left w:w="108" w:type="dxa"/>
              <w:bottom w:w="0" w:type="dxa"/>
              <w:right w:w="108" w:type="dxa"/>
            </w:tcMar>
            <w:vAlign w:val="bottom"/>
          </w:tcPr>
          <w:p w:rsidR="00FF2A1C" w:rsidRDefault="00F07455">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16.3</w:t>
            </w:r>
            <w:r w:rsidR="00236B06">
              <w:rPr>
                <w:rFonts w:ascii="仿宋" w:eastAsia="仿宋" w:hAnsi="仿宋" w:cs="Times New Roman" w:hint="eastAsia"/>
                <w:color w:val="FF0000"/>
              </w:rPr>
              <w:t>%</w:t>
            </w:r>
          </w:p>
        </w:tc>
      </w:tr>
      <w:tr w:rsidR="00FF2A1C">
        <w:trPr>
          <w:trHeight w:val="310"/>
          <w:jc w:val="center"/>
        </w:trPr>
        <w:tc>
          <w:tcPr>
            <w:tcW w:w="5159" w:type="dxa"/>
            <w:shd w:val="clear" w:color="auto" w:fill="FFFFFF"/>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rPr>
                <w:rFonts w:ascii="仿宋" w:eastAsia="仿宋" w:hAnsi="仿宋"/>
                <w:color w:val="404040"/>
              </w:rPr>
            </w:pPr>
            <w:r>
              <w:rPr>
                <w:rFonts w:ascii="仿宋" w:eastAsia="仿宋" w:hAnsi="仿宋" w:cs="Times New Roman" w:hint="eastAsia"/>
                <w:color w:val="000000"/>
              </w:rPr>
              <w:t>四、资本充足率</w:t>
            </w:r>
          </w:p>
        </w:tc>
        <w:tc>
          <w:tcPr>
            <w:tcW w:w="3739" w:type="dxa"/>
            <w:shd w:val="clear" w:color="auto" w:fill="FFFFFF"/>
            <w:tcMar>
              <w:top w:w="0" w:type="dxa"/>
              <w:left w:w="108" w:type="dxa"/>
              <w:bottom w:w="0" w:type="dxa"/>
              <w:right w:w="108" w:type="dxa"/>
            </w:tcMar>
            <w:vAlign w:val="bottom"/>
          </w:tcPr>
          <w:p w:rsidR="00FF2A1C" w:rsidRDefault="00F07455">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17.4</w:t>
            </w:r>
            <w:r w:rsidR="00236B06">
              <w:rPr>
                <w:rFonts w:ascii="仿宋" w:eastAsia="仿宋" w:hAnsi="仿宋" w:cs="Times New Roman" w:hint="eastAsia"/>
                <w:color w:val="FF0000"/>
              </w:rPr>
              <w:t>%</w:t>
            </w:r>
          </w:p>
        </w:tc>
      </w:tr>
    </w:tbl>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8．报告期内，本行没有银行承兑汇票、对外担保、融资保函、非融资保函、贷款承诺、开出即期信用证、开出远期信用证、金融期货、金融期权等表外项目，其年末余额均为0。</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（四）关联方关系及交易</w:t>
      </w:r>
    </w:p>
    <w:p w:rsidR="00FF2A1C" w:rsidRDefault="00236B06">
      <w:pPr>
        <w:pStyle w:val="a7"/>
        <w:spacing w:before="0" w:beforeAutospacing="0" w:after="0" w:afterAutospacing="0" w:line="600" w:lineRule="exact"/>
        <w:ind w:firstLineChars="200" w:firstLine="60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1</w:t>
      </w:r>
      <w:r>
        <w:rPr>
          <w:rFonts w:ascii="仿宋" w:eastAsia="仿宋" w:hAnsi="仿宋" w:cs="Times New Roman" w:hint="eastAsia"/>
          <w:color w:val="FF0000"/>
          <w:sz w:val="30"/>
          <w:szCs w:val="30"/>
        </w:rPr>
        <w:t>.截至本财务报表批准报出日止，本行2021年度共发生关联交易30笔，发生金额26</w:t>
      </w:r>
      <w:r w:rsidR="00F07455">
        <w:rPr>
          <w:rFonts w:ascii="仿宋" w:eastAsia="仿宋" w:hAnsi="仿宋" w:cs="Times New Roman" w:hint="eastAsia"/>
          <w:color w:val="FF0000"/>
          <w:sz w:val="30"/>
          <w:szCs w:val="30"/>
        </w:rPr>
        <w:t>30</w:t>
      </w:r>
      <w:r>
        <w:rPr>
          <w:rFonts w:ascii="仿宋" w:eastAsia="仿宋" w:hAnsi="仿宋" w:cs="Times New Roman" w:hint="eastAsia"/>
          <w:color w:val="FF0000"/>
          <w:sz w:val="30"/>
          <w:szCs w:val="30"/>
        </w:rPr>
        <w:t>万元，其中重大关联交易7笔，金额2030万元；一般关联交易23笔，金额</w:t>
      </w:r>
      <w:r w:rsidR="00F07455">
        <w:rPr>
          <w:rFonts w:ascii="仿宋" w:eastAsia="仿宋" w:hAnsi="仿宋" w:cs="Times New Roman" w:hint="eastAsia"/>
          <w:color w:val="FF0000"/>
          <w:sz w:val="30"/>
          <w:szCs w:val="30"/>
        </w:rPr>
        <w:t>600</w:t>
      </w:r>
      <w:r>
        <w:rPr>
          <w:rFonts w:ascii="仿宋" w:eastAsia="仿宋" w:hAnsi="仿宋" w:cs="Times New Roman" w:hint="eastAsia"/>
          <w:color w:val="FF0000"/>
          <w:sz w:val="30"/>
          <w:szCs w:val="30"/>
        </w:rPr>
        <w:t>万元。</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2.与主发起行之间的关联交易情况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42"/>
        <w:gridCol w:w="2387"/>
        <w:gridCol w:w="2549"/>
        <w:gridCol w:w="1344"/>
      </w:tblGrid>
      <w:tr w:rsidR="00FF2A1C">
        <w:trPr>
          <w:trHeight w:val="224"/>
          <w:jc w:val="center"/>
        </w:trPr>
        <w:tc>
          <w:tcPr>
            <w:tcW w:w="2242" w:type="dxa"/>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sz w:val="30"/>
                <w:szCs w:val="30"/>
              </w:rPr>
            </w:pPr>
            <w:r>
              <w:rPr>
                <w:rFonts w:ascii="仿宋" w:eastAsia="仿宋" w:hAnsi="仿宋" w:cs="Times New Roman" w:hint="eastAsia"/>
                <w:color w:val="000000"/>
                <w:sz w:val="30"/>
                <w:szCs w:val="30"/>
              </w:rPr>
              <w:t>主发起行名称</w:t>
            </w:r>
          </w:p>
        </w:tc>
        <w:tc>
          <w:tcPr>
            <w:tcW w:w="2387" w:type="dxa"/>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sz w:val="30"/>
                <w:szCs w:val="30"/>
              </w:rPr>
            </w:pPr>
            <w:r>
              <w:rPr>
                <w:rFonts w:ascii="仿宋" w:eastAsia="仿宋" w:hAnsi="仿宋" w:cs="Times New Roman" w:hint="eastAsia"/>
                <w:color w:val="000000"/>
                <w:sz w:val="30"/>
                <w:szCs w:val="30"/>
              </w:rPr>
              <w:t>村镇银行上存主发起行资金（清算资金）</w:t>
            </w:r>
          </w:p>
        </w:tc>
        <w:tc>
          <w:tcPr>
            <w:tcW w:w="2549" w:type="dxa"/>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sz w:val="30"/>
                <w:szCs w:val="30"/>
              </w:rPr>
            </w:pPr>
            <w:r>
              <w:rPr>
                <w:rFonts w:ascii="仿宋" w:eastAsia="仿宋" w:hAnsi="仿宋" w:cs="Times New Roman" w:hint="eastAsia"/>
                <w:color w:val="000000"/>
                <w:sz w:val="30"/>
                <w:szCs w:val="30"/>
              </w:rPr>
              <w:t>主发起行对村镇银行的资金支持情况</w:t>
            </w:r>
          </w:p>
        </w:tc>
        <w:tc>
          <w:tcPr>
            <w:tcW w:w="1344" w:type="dxa"/>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sz w:val="30"/>
                <w:szCs w:val="30"/>
              </w:rPr>
            </w:pPr>
            <w:r>
              <w:rPr>
                <w:rFonts w:ascii="仿宋" w:eastAsia="仿宋" w:hAnsi="仿宋" w:cs="Times New Roman" w:hint="eastAsia"/>
                <w:color w:val="000000"/>
                <w:sz w:val="30"/>
                <w:szCs w:val="30"/>
              </w:rPr>
              <w:t>备注</w:t>
            </w:r>
          </w:p>
        </w:tc>
      </w:tr>
      <w:tr w:rsidR="00FF2A1C">
        <w:trPr>
          <w:trHeight w:val="488"/>
          <w:jc w:val="center"/>
        </w:trPr>
        <w:tc>
          <w:tcPr>
            <w:tcW w:w="2242" w:type="dxa"/>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sz w:val="30"/>
                <w:szCs w:val="30"/>
              </w:rPr>
            </w:pPr>
            <w:r>
              <w:rPr>
                <w:rFonts w:ascii="仿宋" w:eastAsia="仿宋" w:hAnsi="仿宋" w:cs="Times New Roman" w:hint="eastAsia"/>
                <w:color w:val="000000"/>
                <w:sz w:val="30"/>
                <w:szCs w:val="30"/>
              </w:rPr>
              <w:t>侯马农商银行股份有限公司</w:t>
            </w:r>
          </w:p>
        </w:tc>
        <w:tc>
          <w:tcPr>
            <w:tcW w:w="2387" w:type="dxa"/>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600"/>
              <w:jc w:val="center"/>
              <w:rPr>
                <w:rFonts w:ascii="仿宋" w:eastAsia="仿宋" w:hAnsi="仿宋"/>
                <w:color w:val="404040"/>
                <w:sz w:val="30"/>
                <w:szCs w:val="30"/>
              </w:rPr>
            </w:pPr>
            <w:r>
              <w:rPr>
                <w:rFonts w:ascii="仿宋" w:eastAsia="仿宋" w:hAnsi="仿宋" w:cs="Times New Roman" w:hint="eastAsia"/>
                <w:color w:val="404040"/>
                <w:sz w:val="30"/>
                <w:szCs w:val="30"/>
              </w:rPr>
              <w:t>0.00</w:t>
            </w:r>
          </w:p>
        </w:tc>
        <w:tc>
          <w:tcPr>
            <w:tcW w:w="2549" w:type="dxa"/>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600"/>
              <w:jc w:val="center"/>
              <w:rPr>
                <w:rFonts w:ascii="仿宋" w:eastAsia="仿宋" w:hAnsi="仿宋"/>
                <w:color w:val="404040"/>
                <w:sz w:val="30"/>
                <w:szCs w:val="30"/>
              </w:rPr>
            </w:pPr>
            <w:r>
              <w:rPr>
                <w:rFonts w:ascii="仿宋" w:eastAsia="仿宋" w:hAnsi="仿宋" w:cs="Times New Roman" w:hint="eastAsia"/>
                <w:color w:val="000000"/>
                <w:sz w:val="30"/>
                <w:szCs w:val="30"/>
              </w:rPr>
              <w:t>0</w:t>
            </w:r>
          </w:p>
        </w:tc>
        <w:tc>
          <w:tcPr>
            <w:tcW w:w="1344" w:type="dxa"/>
            <w:tcMar>
              <w:top w:w="0" w:type="dxa"/>
              <w:left w:w="108" w:type="dxa"/>
              <w:bottom w:w="0" w:type="dxa"/>
              <w:right w:w="108" w:type="dxa"/>
            </w:tcMar>
            <w:vAlign w:val="center"/>
          </w:tcPr>
          <w:p w:rsidR="00FF2A1C" w:rsidRDefault="00236B06">
            <w:pPr>
              <w:spacing w:line="600" w:lineRule="exact"/>
              <w:ind w:firstLineChars="200" w:firstLine="600"/>
              <w:rPr>
                <w:rFonts w:ascii="仿宋" w:eastAsia="仿宋" w:hAnsi="仿宋" w:cs="宋体"/>
                <w:color w:val="404040"/>
                <w:sz w:val="30"/>
                <w:szCs w:val="30"/>
              </w:rPr>
            </w:pPr>
            <w:r>
              <w:rPr>
                <w:rFonts w:ascii="微软雅黑" w:eastAsia="仿宋" w:hAnsi="微软雅黑" w:hint="eastAsia"/>
                <w:color w:val="404040"/>
                <w:sz w:val="30"/>
                <w:szCs w:val="30"/>
              </w:rPr>
              <w:t> </w:t>
            </w:r>
          </w:p>
        </w:tc>
      </w:tr>
    </w:tbl>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（五）重要会计政策和会计估计的变更</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截至本财务报表批准报出日止，本行没有重要会计政策和会计估计的变更。</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（六）或有事项</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lastRenderedPageBreak/>
        <w:t>截至本财务报表批准报出日止，本行没有其他任何需作披露的或有事项。</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（七）资产负债表日后事项</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截至本财务报表批准报出日止，本行没有其他任何需作披露或调整的重大资产负债表日后事项。</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（八）重要资产转让及出售情况</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截至本财务报表批准报出日止，本行未发生重要资产转让及出售事项。</w:t>
      </w:r>
    </w:p>
    <w:p w:rsidR="00FF2A1C" w:rsidRDefault="00236B06">
      <w:pPr>
        <w:pStyle w:val="2"/>
        <w:spacing w:line="600" w:lineRule="exact"/>
        <w:ind w:firstLineChars="200" w:firstLine="600"/>
        <w:jc w:val="both"/>
        <w:rPr>
          <w:rFonts w:ascii="仿宋" w:eastAsia="仿宋" w:hAnsi="仿宋" w:cs="Times New Roman"/>
          <w:color w:val="000000"/>
          <w:sz w:val="30"/>
          <w:szCs w:val="30"/>
          <w:highlight w:val="yellow"/>
        </w:rPr>
      </w:pPr>
      <w:bookmarkStart w:id="15" w:name="_Toc227401520"/>
      <w:bookmarkStart w:id="16" w:name="_Toc193883041"/>
      <w:bookmarkStart w:id="17" w:name="_Toc481080002"/>
      <w:bookmarkEnd w:id="15"/>
      <w:bookmarkEnd w:id="16"/>
      <w:r>
        <w:rPr>
          <w:rStyle w:val="a8"/>
          <w:rFonts w:ascii="仿宋" w:eastAsia="仿宋" w:hAnsi="仿宋" w:cs="Arial" w:hint="eastAsia"/>
          <w:color w:val="000000"/>
          <w:sz w:val="30"/>
          <w:szCs w:val="30"/>
        </w:rPr>
        <w:t>三</w:t>
      </w:r>
      <w:bookmarkEnd w:id="17"/>
      <w:r>
        <w:rPr>
          <w:rStyle w:val="a8"/>
          <w:rFonts w:ascii="仿宋" w:eastAsia="仿宋" w:hAnsi="仿宋" w:cs="Arial" w:hint="eastAsia"/>
          <w:color w:val="000000"/>
          <w:sz w:val="30"/>
          <w:szCs w:val="30"/>
        </w:rPr>
        <w:t>、财务状况说明书</w:t>
      </w:r>
      <w:bookmarkStart w:id="18" w:name="_Toc322415013"/>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（一）基本经营情况</w:t>
      </w:r>
      <w:bookmarkEnd w:id="18"/>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highlight w:val="yellow"/>
        </w:rPr>
      </w:pPr>
      <w:bookmarkStart w:id="19" w:name="_Toc322415014"/>
      <w:bookmarkEnd w:id="19"/>
      <w:r>
        <w:rPr>
          <w:rFonts w:ascii="仿宋" w:eastAsia="仿宋" w:hAnsi="仿宋" w:cs="Times New Roman" w:hint="eastAsia"/>
          <w:color w:val="FF0000"/>
          <w:sz w:val="30"/>
          <w:szCs w:val="30"/>
        </w:rPr>
        <w:t>截止报告期末，本行资产总额77223万元；各项存款</w:t>
      </w:r>
      <w:r w:rsidR="008B46BE">
        <w:rPr>
          <w:rFonts w:ascii="仿宋" w:eastAsia="仿宋" w:hAnsi="仿宋" w:cs="Times New Roman" w:hint="eastAsia"/>
          <w:color w:val="FF0000"/>
          <w:sz w:val="30"/>
          <w:szCs w:val="30"/>
        </w:rPr>
        <w:t>59327</w:t>
      </w:r>
      <w:r>
        <w:rPr>
          <w:rFonts w:ascii="仿宋" w:eastAsia="仿宋" w:hAnsi="仿宋" w:cs="Times New Roman" w:hint="eastAsia"/>
          <w:color w:val="FF0000"/>
          <w:sz w:val="30"/>
          <w:szCs w:val="30"/>
        </w:rPr>
        <w:t>万元；各项贷款39683万元；全年实现税前利润65</w:t>
      </w:r>
      <w:r w:rsidR="008B46BE">
        <w:rPr>
          <w:rFonts w:ascii="仿宋" w:eastAsia="仿宋" w:hAnsi="仿宋" w:cs="Times New Roman" w:hint="eastAsia"/>
          <w:color w:val="FF0000"/>
          <w:sz w:val="30"/>
          <w:szCs w:val="30"/>
        </w:rPr>
        <w:t>1</w:t>
      </w:r>
      <w:r>
        <w:rPr>
          <w:rFonts w:ascii="仿宋" w:eastAsia="仿宋" w:hAnsi="仿宋" w:cs="Times New Roman" w:hint="eastAsia"/>
          <w:color w:val="FF0000"/>
          <w:sz w:val="30"/>
          <w:szCs w:val="30"/>
        </w:rPr>
        <w:t>万元；不良贷款（五级分类）713万元；不良贷款率</w:t>
      </w:r>
      <w:r w:rsidR="008B46BE">
        <w:rPr>
          <w:rFonts w:ascii="仿宋" w:eastAsia="仿宋" w:hAnsi="仿宋" w:cs="Times New Roman" w:hint="eastAsia"/>
          <w:color w:val="FF0000"/>
          <w:sz w:val="30"/>
          <w:szCs w:val="30"/>
        </w:rPr>
        <w:t>1.8</w:t>
      </w:r>
      <w:r>
        <w:rPr>
          <w:rFonts w:ascii="仿宋" w:eastAsia="仿宋" w:hAnsi="仿宋" w:cs="Times New Roman" w:hint="eastAsia"/>
          <w:color w:val="FF0000"/>
          <w:sz w:val="30"/>
          <w:szCs w:val="30"/>
        </w:rPr>
        <w:t>%；资本充足率17.</w:t>
      </w:r>
      <w:r w:rsidR="008B46BE">
        <w:rPr>
          <w:rFonts w:ascii="仿宋" w:eastAsia="仿宋" w:hAnsi="仿宋" w:cs="Times New Roman" w:hint="eastAsia"/>
          <w:color w:val="FF0000"/>
          <w:sz w:val="30"/>
          <w:szCs w:val="30"/>
        </w:rPr>
        <w:t>4</w:t>
      </w:r>
      <w:r>
        <w:rPr>
          <w:rFonts w:ascii="仿宋" w:eastAsia="仿宋" w:hAnsi="仿宋" w:cs="Times New Roman" w:hint="eastAsia"/>
          <w:color w:val="FF0000"/>
          <w:sz w:val="30"/>
          <w:szCs w:val="30"/>
        </w:rPr>
        <w:t>%。</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404040"/>
          <w:sz w:val="30"/>
          <w:szCs w:val="30"/>
        </w:rPr>
        <w:t>（二）利润实现和分配情况</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FF0000"/>
          <w:sz w:val="30"/>
          <w:szCs w:val="30"/>
        </w:rPr>
        <w:t>截止报告期末，本行实现税前利润65</w:t>
      </w:r>
      <w:r w:rsidR="008B46BE">
        <w:rPr>
          <w:rFonts w:ascii="仿宋" w:eastAsia="仿宋" w:hAnsi="仿宋" w:cs="Times New Roman" w:hint="eastAsia"/>
          <w:color w:val="FF0000"/>
          <w:sz w:val="30"/>
          <w:szCs w:val="30"/>
        </w:rPr>
        <w:t>1</w:t>
      </w:r>
      <w:r>
        <w:rPr>
          <w:rFonts w:ascii="仿宋" w:eastAsia="仿宋" w:hAnsi="仿宋" w:cs="Times New Roman" w:hint="eastAsia"/>
          <w:color w:val="FF0000"/>
          <w:sz w:val="30"/>
          <w:szCs w:val="30"/>
        </w:rPr>
        <w:t>万元，净利润523万元，累计提取法定盈余公积142万元，累计提取一般风险准备20</w:t>
      </w:r>
      <w:r w:rsidR="008B46BE">
        <w:rPr>
          <w:rFonts w:ascii="仿宋" w:eastAsia="仿宋" w:hAnsi="仿宋" w:cs="Times New Roman" w:hint="eastAsia"/>
          <w:color w:val="FF0000"/>
          <w:sz w:val="30"/>
          <w:szCs w:val="30"/>
        </w:rPr>
        <w:t>7</w:t>
      </w:r>
      <w:r>
        <w:rPr>
          <w:rFonts w:ascii="仿宋" w:eastAsia="仿宋" w:hAnsi="仿宋" w:cs="Times New Roman" w:hint="eastAsia"/>
          <w:color w:val="FF0000"/>
          <w:sz w:val="30"/>
          <w:szCs w:val="30"/>
        </w:rPr>
        <w:t>万元，未分配利润5</w:t>
      </w:r>
      <w:r w:rsidR="008B46BE">
        <w:rPr>
          <w:rFonts w:ascii="仿宋" w:eastAsia="仿宋" w:hAnsi="仿宋" w:cs="Times New Roman" w:hint="eastAsia"/>
          <w:color w:val="FF0000"/>
          <w:sz w:val="30"/>
          <w:szCs w:val="30"/>
        </w:rPr>
        <w:t>50</w:t>
      </w:r>
      <w:r>
        <w:rPr>
          <w:rFonts w:ascii="仿宋" w:eastAsia="仿宋" w:hAnsi="仿宋" w:cs="Times New Roman" w:hint="eastAsia"/>
          <w:color w:val="FF0000"/>
          <w:sz w:val="30"/>
          <w:szCs w:val="30"/>
        </w:rPr>
        <w:t>万元</w:t>
      </w:r>
      <w:r>
        <w:rPr>
          <w:rFonts w:ascii="仿宋" w:eastAsia="仿宋" w:hAnsi="仿宋" w:cs="Times New Roman" w:hint="eastAsia"/>
          <w:color w:val="404040"/>
          <w:sz w:val="30"/>
          <w:szCs w:val="30"/>
        </w:rPr>
        <w:t>。拟对</w:t>
      </w:r>
      <w:r w:rsidRPr="0048781F">
        <w:rPr>
          <w:rFonts w:ascii="仿宋" w:eastAsia="仿宋" w:hAnsi="仿宋" w:cs="Times New Roman" w:hint="eastAsia"/>
          <w:color w:val="404040"/>
          <w:sz w:val="30"/>
          <w:szCs w:val="30"/>
        </w:rPr>
        <w:t>2021年度股金（总股本6000万股）进行分红</w:t>
      </w:r>
      <w:r>
        <w:rPr>
          <w:rFonts w:ascii="仿宋" w:eastAsia="仿宋" w:hAnsi="仿宋" w:cs="Times New Roman" w:hint="eastAsia"/>
          <w:color w:val="404040"/>
          <w:sz w:val="30"/>
          <w:szCs w:val="30"/>
        </w:rPr>
        <w:t>，分红预案需召开股东大会审议通过后实施。</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（三）薪酬情况</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bookmarkStart w:id="20" w:name="_Toc322415015"/>
      <w:bookmarkEnd w:id="20"/>
      <w:r>
        <w:rPr>
          <w:rFonts w:ascii="仿宋" w:eastAsia="仿宋" w:hAnsi="仿宋" w:cs="Times New Roman" w:hint="eastAsia"/>
          <w:color w:val="FF0000"/>
          <w:sz w:val="30"/>
          <w:szCs w:val="30"/>
        </w:rPr>
        <w:lastRenderedPageBreak/>
        <w:t>截至报告期末，本行发放的薪酬总额为1102万元，其中：职工工资为777万元，五险一金支出为170万元，其他支出155万元。</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（四）其他事项</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报告期内，没有对本行财务状况、经营成果有重大影响的事项。</w:t>
      </w:r>
    </w:p>
    <w:p w:rsidR="00FF2A1C" w:rsidRDefault="00236B06">
      <w:pPr>
        <w:pStyle w:val="1"/>
        <w:spacing w:before="0" w:beforeAutospacing="0" w:after="0" w:afterAutospacing="0" w:line="600" w:lineRule="exact"/>
        <w:ind w:firstLineChars="200" w:firstLine="602"/>
        <w:jc w:val="center"/>
        <w:rPr>
          <w:rFonts w:ascii="仿宋" w:eastAsia="仿宋" w:hAnsi="仿宋"/>
          <w:color w:val="404040"/>
          <w:sz w:val="30"/>
          <w:szCs w:val="30"/>
        </w:rPr>
      </w:pPr>
      <w:bookmarkStart w:id="21" w:name="_Toc481080003"/>
      <w:r>
        <w:rPr>
          <w:rStyle w:val="a8"/>
          <w:rFonts w:ascii="仿宋" w:eastAsia="仿宋" w:hAnsi="仿宋" w:hint="eastAsia"/>
          <w:b/>
          <w:bCs/>
          <w:color w:val="000000"/>
          <w:sz w:val="30"/>
          <w:szCs w:val="30"/>
        </w:rPr>
        <w:t>第四章</w:t>
      </w:r>
      <w:r>
        <w:rPr>
          <w:rStyle w:val="a8"/>
          <w:rFonts w:eastAsia="仿宋" w:hint="eastAsia"/>
          <w:b/>
          <w:bCs/>
          <w:color w:val="000000"/>
          <w:sz w:val="30"/>
          <w:szCs w:val="30"/>
        </w:rPr>
        <w:t> </w:t>
      </w:r>
      <w:r>
        <w:rPr>
          <w:rStyle w:val="apple-converted-space"/>
          <w:rFonts w:eastAsia="仿宋" w:hint="eastAsia"/>
          <w:color w:val="000000"/>
          <w:sz w:val="30"/>
          <w:szCs w:val="30"/>
        </w:rPr>
        <w:t> </w:t>
      </w:r>
      <w:bookmarkEnd w:id="21"/>
      <w:r>
        <w:rPr>
          <w:rStyle w:val="a8"/>
          <w:rFonts w:ascii="仿宋" w:eastAsia="仿宋" w:hAnsi="仿宋" w:hint="eastAsia"/>
          <w:b/>
          <w:bCs/>
          <w:color w:val="000000"/>
          <w:sz w:val="30"/>
          <w:szCs w:val="30"/>
        </w:rPr>
        <w:t>风险管理情况</w:t>
      </w:r>
    </w:p>
    <w:p w:rsidR="00FF2A1C" w:rsidRDefault="00236B06">
      <w:pPr>
        <w:pStyle w:val="2"/>
        <w:spacing w:line="600" w:lineRule="exact"/>
        <w:ind w:firstLineChars="200" w:firstLine="602"/>
        <w:jc w:val="both"/>
        <w:rPr>
          <w:rFonts w:ascii="仿宋" w:eastAsia="仿宋" w:hAnsi="仿宋"/>
          <w:color w:val="404040"/>
          <w:sz w:val="30"/>
          <w:szCs w:val="30"/>
        </w:rPr>
      </w:pPr>
      <w:r>
        <w:rPr>
          <w:rStyle w:val="a8"/>
          <w:rFonts w:ascii="Arial" w:eastAsia="仿宋" w:hAnsi="Arial" w:cs="Arial"/>
          <w:b/>
          <w:bCs/>
          <w:color w:val="404040"/>
          <w:sz w:val="30"/>
          <w:szCs w:val="30"/>
        </w:rPr>
        <w:t>   </w:t>
      </w:r>
      <w:r>
        <w:rPr>
          <w:rStyle w:val="apple-converted-space"/>
          <w:rFonts w:ascii="Arial" w:eastAsia="仿宋" w:hAnsi="Arial" w:cs="Arial"/>
          <w:color w:val="404040"/>
          <w:sz w:val="30"/>
          <w:szCs w:val="30"/>
        </w:rPr>
        <w:t> </w:t>
      </w:r>
      <w:bookmarkStart w:id="22" w:name="_Toc481080004"/>
      <w:r>
        <w:rPr>
          <w:rStyle w:val="a8"/>
          <w:rFonts w:ascii="仿宋" w:eastAsia="仿宋" w:hAnsi="仿宋" w:cs="Arial" w:hint="eastAsia"/>
          <w:b/>
          <w:bCs/>
          <w:color w:val="000000"/>
          <w:sz w:val="30"/>
          <w:szCs w:val="30"/>
        </w:rPr>
        <w:t>一、</w:t>
      </w:r>
      <w:bookmarkEnd w:id="22"/>
      <w:r>
        <w:rPr>
          <w:rStyle w:val="a8"/>
          <w:rFonts w:ascii="仿宋" w:eastAsia="仿宋" w:hAnsi="仿宋" w:cs="Arial" w:hint="eastAsia"/>
          <w:b/>
          <w:bCs/>
          <w:color w:val="000000"/>
          <w:sz w:val="30"/>
          <w:szCs w:val="30"/>
        </w:rPr>
        <w:t>信用风险状况</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本行面临的信用风险是指交易对方无法在到期日全额偿还本行借贷资金的风险。当交易对方集中于某些相同行业或地理区域时，信用风险随之上升。</w:t>
      </w:r>
    </w:p>
    <w:p w:rsidR="00FF2A1C" w:rsidRDefault="00236B06">
      <w:pPr>
        <w:pStyle w:val="20"/>
        <w:spacing w:before="0" w:beforeAutospacing="0" w:after="120" w:afterAutospacing="0" w:line="600" w:lineRule="exact"/>
        <w:ind w:left="420" w:firstLineChars="200" w:firstLine="600"/>
        <w:jc w:val="both"/>
        <w:rPr>
          <w:rFonts w:ascii="仿宋" w:eastAsia="仿宋" w:hAnsi="仿宋"/>
          <w:color w:val="404040"/>
          <w:sz w:val="30"/>
          <w:szCs w:val="30"/>
        </w:rPr>
      </w:pPr>
      <w:bookmarkStart w:id="23" w:name="_Toc193883047"/>
      <w:bookmarkStart w:id="24" w:name="_Toc227401526"/>
      <w:bookmarkStart w:id="25" w:name="_Toc322415018"/>
      <w:bookmarkEnd w:id="23"/>
      <w:bookmarkEnd w:id="24"/>
      <w:r>
        <w:rPr>
          <w:rFonts w:ascii="仿宋" w:eastAsia="仿宋" w:hAnsi="仿宋" w:cs="Tahoma" w:hint="eastAsia"/>
          <w:color w:val="000000"/>
          <w:sz w:val="30"/>
          <w:szCs w:val="30"/>
        </w:rPr>
        <w:t>（一）董事会、经营管理层信用风险的控制能力</w:t>
      </w:r>
      <w:bookmarkEnd w:id="25"/>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报告期内，本行董事和经营管理层进一步加强信用风险管控，强化政策导向和制度约束，建立和加强风险管理和内部控制机制，定期监测风险状况，提升了资产质量。</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bookmarkStart w:id="26" w:name="_Toc322415019"/>
      <w:r>
        <w:rPr>
          <w:rFonts w:ascii="仿宋" w:eastAsia="仿宋" w:hAnsi="仿宋" w:cs="Times New Roman" w:hint="eastAsia"/>
          <w:color w:val="000000"/>
          <w:sz w:val="30"/>
          <w:szCs w:val="30"/>
        </w:rPr>
        <w:t>（二）信用风险管理政策</w:t>
      </w:r>
      <w:bookmarkEnd w:id="26"/>
    </w:p>
    <w:p w:rsidR="00FF2A1C" w:rsidRDefault="00236B06">
      <w:pPr>
        <w:pStyle w:val="a7"/>
        <w:spacing w:before="0" w:beforeAutospacing="0" w:after="0" w:afterAutospacing="0" w:line="600" w:lineRule="exact"/>
        <w:ind w:firstLineChars="200" w:firstLine="600"/>
        <w:rPr>
          <w:rFonts w:ascii="仿宋" w:eastAsia="仿宋" w:hAnsi="仿宋"/>
          <w:color w:val="404040"/>
          <w:sz w:val="30"/>
          <w:szCs w:val="30"/>
        </w:rPr>
      </w:pPr>
      <w:r>
        <w:rPr>
          <w:rFonts w:ascii="仿宋" w:eastAsia="仿宋" w:hAnsi="仿宋" w:cs="Times New Roman" w:hint="eastAsia"/>
          <w:color w:val="000000"/>
          <w:sz w:val="30"/>
          <w:szCs w:val="30"/>
        </w:rPr>
        <w:t>本行产生信用风险的主要是信贷业务。本行信贷业务政策是遵循国家法律法规，严格执行国家的产业政策，以安全性、流动性、效益性为经营原则，以小额、流动、分散为信贷原则，准确、高效、安全地运作信贷资金，控制关联交易风险，保护存款人和其他客户的合法权益。</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bookmarkStart w:id="27" w:name="_Toc193883045"/>
      <w:r>
        <w:rPr>
          <w:rFonts w:ascii="仿宋" w:eastAsia="仿宋" w:hAnsi="仿宋" w:cs="Tahoma" w:hint="eastAsia"/>
          <w:color w:val="000000"/>
          <w:sz w:val="30"/>
          <w:szCs w:val="30"/>
        </w:rPr>
        <w:t>（三）风险计量、检测和管理信息系统</w:t>
      </w:r>
      <w:bookmarkEnd w:id="27"/>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lastRenderedPageBreak/>
        <w:t>1、风险计量。本行采取客户评级来实现风险计量。本行信用等级评定设定统一的评级标准，并按得分高低分为AAA、AA、A、B、和C共五个等级。</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2、风险检测。本行采取风险预警的方法来实现风险检测。本行根据各种渠道获得的信息，通过一定的技术手段，对贷款客户的预警信号进行识别，分析、衡量其风险状况，并进行动态监测和早期预警，实现对风险“防患于未然”的一种“防错纠错机制”。</w:t>
      </w:r>
    </w:p>
    <w:p w:rsidR="00FF2A1C" w:rsidRDefault="00236B06">
      <w:pPr>
        <w:pStyle w:val="a7"/>
        <w:spacing w:before="0" w:beforeAutospacing="0" w:after="0" w:afterAutospacing="0" w:line="600" w:lineRule="exact"/>
        <w:ind w:firstLineChars="200" w:firstLine="600"/>
        <w:rPr>
          <w:rFonts w:ascii="仿宋" w:eastAsia="仿宋" w:hAnsi="仿宋"/>
          <w:color w:val="404040"/>
          <w:sz w:val="30"/>
          <w:szCs w:val="30"/>
        </w:rPr>
      </w:pPr>
      <w:r>
        <w:rPr>
          <w:rFonts w:ascii="仿宋" w:eastAsia="仿宋" w:hAnsi="仿宋" w:cs="Times New Roman" w:hint="eastAsia"/>
          <w:color w:val="000000"/>
          <w:sz w:val="30"/>
          <w:szCs w:val="30"/>
        </w:rPr>
        <w:t>3、管理信息系统。目前，本行的信贷管理系统只对客户贷款的信用情况进行监督。</w:t>
      </w:r>
    </w:p>
    <w:p w:rsidR="00FF2A1C" w:rsidRDefault="00236B06">
      <w:pPr>
        <w:pStyle w:val="a7"/>
        <w:spacing w:before="0" w:beforeAutospacing="0" w:after="0" w:afterAutospacing="0" w:line="600" w:lineRule="exact"/>
        <w:ind w:firstLineChars="200" w:firstLine="600"/>
        <w:rPr>
          <w:rFonts w:ascii="仿宋" w:eastAsia="仿宋" w:hAnsi="仿宋"/>
          <w:color w:val="404040"/>
          <w:sz w:val="30"/>
          <w:szCs w:val="30"/>
        </w:rPr>
      </w:pPr>
      <w:r>
        <w:rPr>
          <w:rFonts w:ascii="仿宋" w:eastAsia="仿宋" w:hAnsi="仿宋" w:cs="Times New Roman" w:hint="eastAsia"/>
          <w:color w:val="000000"/>
          <w:sz w:val="30"/>
          <w:szCs w:val="30"/>
        </w:rPr>
        <w:t>（四）内部控制和全面审计情况</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本行制定了《信贷管理制度》、《信贷人员责任追究制度》、《客户评级及额度授信办法》、《信贷审批规程》等制度，逐步建立了一个比较完善的内控制度体系。报告期内，发起行侯马农商行每年对本行的信贷业务开展情况进行了全面审计，重点对贷款三查调查真实性、审查审批合规性与风险控制有效性、贷款走款支付合规性与风险控制有效性、贷后管理及有效性、贷款收回与展期、续贷、追加额度合规性与风险控制有效性等等进行审计，通过开展审计，揭示本行存在的缺陷与不足之处，堵塞漏洞。</w:t>
      </w:r>
    </w:p>
    <w:p w:rsidR="00FF2A1C" w:rsidRDefault="00236B06">
      <w:pPr>
        <w:pStyle w:val="a7"/>
        <w:spacing w:before="0" w:beforeAutospacing="0" w:after="0" w:afterAutospacing="0" w:line="600" w:lineRule="exact"/>
        <w:ind w:firstLineChars="200" w:firstLine="600"/>
        <w:rPr>
          <w:rFonts w:ascii="仿宋" w:eastAsia="仿宋" w:hAnsi="仿宋"/>
          <w:color w:val="404040"/>
          <w:sz w:val="30"/>
          <w:szCs w:val="30"/>
        </w:rPr>
      </w:pPr>
      <w:r>
        <w:rPr>
          <w:rFonts w:ascii="仿宋" w:eastAsia="仿宋" w:hAnsi="仿宋" w:cs="Times New Roman" w:hint="eastAsia"/>
          <w:color w:val="000000"/>
          <w:sz w:val="30"/>
          <w:szCs w:val="30"/>
        </w:rPr>
        <w:t>（五）其他披露情况</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1、产生信用风险的业务活动：各类信贷业务活动。</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2、信用风险管理组织结构和职责划分</w:t>
      </w: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253"/>
      </w:tblGrid>
      <w:tr w:rsidR="00FF2A1C">
        <w:tc>
          <w:tcPr>
            <w:tcW w:w="8253" w:type="dxa"/>
            <w:tcMar>
              <w:top w:w="54" w:type="dxa"/>
              <w:left w:w="107" w:type="dxa"/>
              <w:bottom w:w="54" w:type="dxa"/>
              <w:right w:w="107" w:type="dxa"/>
            </w:tcMar>
            <w:vAlign w:val="center"/>
          </w:tcPr>
          <w:p w:rsidR="00FF2A1C" w:rsidRDefault="00236B06">
            <w:pPr>
              <w:pStyle w:val="a7"/>
              <w:spacing w:before="0" w:beforeAutospacing="0" w:after="0" w:afterAutospacing="0" w:line="600" w:lineRule="exact"/>
              <w:ind w:firstLineChars="200" w:firstLine="482"/>
              <w:jc w:val="center"/>
              <w:rPr>
                <w:rFonts w:ascii="仿宋" w:eastAsia="仿宋" w:hAnsi="仿宋"/>
                <w:color w:val="404040"/>
              </w:rPr>
            </w:pPr>
            <w:r>
              <w:rPr>
                <w:rStyle w:val="a8"/>
                <w:rFonts w:ascii="仿宋" w:eastAsia="仿宋" w:hAnsi="仿宋" w:hint="eastAsia"/>
                <w:color w:val="404040"/>
              </w:rPr>
              <w:lastRenderedPageBreak/>
              <w:t>董事会</w:t>
            </w:r>
          </w:p>
        </w:tc>
      </w:tr>
    </w:tbl>
    <w:p w:rsidR="00FF2A1C" w:rsidRDefault="00FF2A1C">
      <w:pPr>
        <w:spacing w:line="600" w:lineRule="exact"/>
        <w:ind w:firstLineChars="200" w:firstLine="480"/>
        <w:rPr>
          <w:rFonts w:ascii="仿宋" w:eastAsia="仿宋" w:hAnsi="仿宋"/>
          <w:vanish/>
          <w:sz w:val="24"/>
          <w:szCs w:val="24"/>
        </w:rPr>
      </w:pPr>
    </w:p>
    <w:tbl>
      <w:tblPr>
        <w:tblW w:w="8253" w:type="dxa"/>
        <w:tblBorders>
          <w:left w:val="single" w:sz="4" w:space="0" w:color="auto"/>
          <w:right w:val="single" w:sz="4" w:space="0" w:color="auto"/>
        </w:tblBorders>
        <w:tblLayout w:type="fixed"/>
        <w:tblCellMar>
          <w:top w:w="15" w:type="dxa"/>
          <w:left w:w="15" w:type="dxa"/>
          <w:bottom w:w="15" w:type="dxa"/>
          <w:right w:w="15" w:type="dxa"/>
        </w:tblCellMar>
        <w:tblLook w:val="04A0"/>
      </w:tblPr>
      <w:tblGrid>
        <w:gridCol w:w="8253"/>
      </w:tblGrid>
      <w:tr w:rsidR="00FF2A1C">
        <w:tc>
          <w:tcPr>
            <w:tcW w:w="8253" w:type="dxa"/>
            <w:tcMar>
              <w:top w:w="54" w:type="dxa"/>
              <w:left w:w="107" w:type="dxa"/>
              <w:bottom w:w="54" w:type="dxa"/>
              <w:right w:w="107" w:type="dxa"/>
            </w:tcMar>
            <w:vAlign w:val="center"/>
          </w:tcPr>
          <w:p w:rsidR="00FF2A1C" w:rsidRDefault="00236B06">
            <w:pPr>
              <w:pStyle w:val="a7"/>
              <w:spacing w:before="0" w:beforeAutospacing="0" w:after="0" w:afterAutospacing="0" w:line="600" w:lineRule="exact"/>
              <w:ind w:firstLineChars="200" w:firstLine="482"/>
              <w:jc w:val="center"/>
              <w:rPr>
                <w:rFonts w:ascii="仿宋" w:eastAsia="仿宋" w:hAnsi="仿宋"/>
                <w:color w:val="404040"/>
              </w:rPr>
            </w:pPr>
            <w:r>
              <w:rPr>
                <w:rStyle w:val="a8"/>
                <w:rFonts w:ascii="仿宋" w:eastAsia="仿宋" w:hAnsi="仿宋" w:hint="eastAsia"/>
                <w:color w:val="404040"/>
              </w:rPr>
              <w:t>行长</w:t>
            </w:r>
          </w:p>
        </w:tc>
      </w:tr>
    </w:tbl>
    <w:p w:rsidR="00FF2A1C" w:rsidRDefault="00FF2A1C">
      <w:pPr>
        <w:spacing w:line="600" w:lineRule="exact"/>
        <w:ind w:firstLineChars="200" w:firstLine="480"/>
        <w:rPr>
          <w:rFonts w:ascii="仿宋" w:eastAsia="仿宋" w:hAnsi="仿宋"/>
          <w:vanish/>
          <w:sz w:val="24"/>
          <w:szCs w:val="24"/>
        </w:rPr>
      </w:pPr>
    </w:p>
    <w:tbl>
      <w:tblPr>
        <w:tblW w:w="8253" w:type="dxa"/>
        <w:tblBorders>
          <w:top w:val="single" w:sz="4" w:space="0" w:color="auto"/>
          <w:left w:val="single" w:sz="4" w:space="0" w:color="auto"/>
          <w:right w:val="single" w:sz="4" w:space="0" w:color="auto"/>
        </w:tblBorders>
        <w:tblLayout w:type="fixed"/>
        <w:tblCellMar>
          <w:top w:w="15" w:type="dxa"/>
          <w:left w:w="15" w:type="dxa"/>
          <w:bottom w:w="15" w:type="dxa"/>
          <w:right w:w="15" w:type="dxa"/>
        </w:tblCellMar>
        <w:tblLook w:val="04A0"/>
      </w:tblPr>
      <w:tblGrid>
        <w:gridCol w:w="8253"/>
      </w:tblGrid>
      <w:tr w:rsidR="00FF2A1C">
        <w:tc>
          <w:tcPr>
            <w:tcW w:w="8253" w:type="dxa"/>
            <w:tcMar>
              <w:top w:w="54" w:type="dxa"/>
              <w:left w:w="107" w:type="dxa"/>
              <w:bottom w:w="54" w:type="dxa"/>
              <w:right w:w="107" w:type="dxa"/>
            </w:tcMar>
            <w:vAlign w:val="center"/>
          </w:tcPr>
          <w:p w:rsidR="00FF2A1C" w:rsidRDefault="00236B06">
            <w:pPr>
              <w:pStyle w:val="a7"/>
              <w:spacing w:before="0" w:beforeAutospacing="0" w:after="0" w:afterAutospacing="0" w:line="600" w:lineRule="exact"/>
              <w:ind w:firstLineChars="200" w:firstLine="482"/>
              <w:jc w:val="center"/>
              <w:rPr>
                <w:rFonts w:ascii="仿宋" w:eastAsia="仿宋" w:hAnsi="仿宋"/>
                <w:color w:val="404040"/>
              </w:rPr>
            </w:pPr>
            <w:r>
              <w:rPr>
                <w:rStyle w:val="a8"/>
                <w:rFonts w:ascii="仿宋" w:eastAsia="仿宋" w:hAnsi="仿宋" w:hint="eastAsia"/>
                <w:color w:val="404040"/>
              </w:rPr>
              <w:t>风险合规部</w:t>
            </w:r>
          </w:p>
        </w:tc>
      </w:tr>
    </w:tbl>
    <w:p w:rsidR="00FF2A1C" w:rsidRDefault="00FF2A1C">
      <w:pPr>
        <w:spacing w:line="600" w:lineRule="exact"/>
        <w:ind w:firstLineChars="200" w:firstLine="480"/>
        <w:rPr>
          <w:rFonts w:ascii="仿宋" w:eastAsia="仿宋" w:hAnsi="仿宋"/>
          <w:vanish/>
          <w:sz w:val="24"/>
          <w:szCs w:val="24"/>
        </w:rPr>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253"/>
      </w:tblGrid>
      <w:tr w:rsidR="00FF2A1C">
        <w:tc>
          <w:tcPr>
            <w:tcW w:w="8253" w:type="dxa"/>
            <w:tcMar>
              <w:top w:w="54" w:type="dxa"/>
              <w:left w:w="107" w:type="dxa"/>
              <w:bottom w:w="54" w:type="dxa"/>
              <w:right w:w="107" w:type="dxa"/>
            </w:tcMar>
            <w:vAlign w:val="center"/>
          </w:tcPr>
          <w:p w:rsidR="00FF2A1C" w:rsidRDefault="00236B06">
            <w:pPr>
              <w:pStyle w:val="a7"/>
              <w:spacing w:before="0" w:beforeAutospacing="0" w:after="0" w:afterAutospacing="0" w:line="600" w:lineRule="exact"/>
              <w:ind w:firstLineChars="200" w:firstLine="482"/>
              <w:jc w:val="center"/>
              <w:rPr>
                <w:rFonts w:ascii="仿宋" w:eastAsia="仿宋" w:hAnsi="仿宋"/>
                <w:color w:val="404040"/>
              </w:rPr>
            </w:pPr>
            <w:r>
              <w:rPr>
                <w:rStyle w:val="a8"/>
                <w:rFonts w:ascii="仿宋" w:eastAsia="仿宋" w:hAnsi="仿宋" w:hint="eastAsia"/>
                <w:color w:val="404040"/>
              </w:rPr>
              <w:t>贷审会</w:t>
            </w:r>
          </w:p>
        </w:tc>
      </w:tr>
    </w:tbl>
    <w:p w:rsidR="00FF2A1C" w:rsidRDefault="00FF2A1C">
      <w:pPr>
        <w:spacing w:line="600" w:lineRule="exact"/>
        <w:ind w:firstLineChars="200" w:firstLine="480"/>
        <w:rPr>
          <w:rFonts w:ascii="仿宋" w:eastAsia="仿宋" w:hAnsi="仿宋"/>
          <w:vanish/>
          <w:sz w:val="24"/>
          <w:szCs w:val="24"/>
        </w:rPr>
      </w:pPr>
    </w:p>
    <w:tbl>
      <w:tblPr>
        <w:tblW w:w="8253" w:type="dxa"/>
        <w:tblBorders>
          <w:left w:val="single" w:sz="4" w:space="0" w:color="auto"/>
          <w:right w:val="single" w:sz="4" w:space="0" w:color="auto"/>
        </w:tblBorders>
        <w:tblLayout w:type="fixed"/>
        <w:tblCellMar>
          <w:top w:w="15" w:type="dxa"/>
          <w:left w:w="15" w:type="dxa"/>
          <w:bottom w:w="15" w:type="dxa"/>
          <w:right w:w="15" w:type="dxa"/>
        </w:tblCellMar>
        <w:tblLook w:val="04A0"/>
      </w:tblPr>
      <w:tblGrid>
        <w:gridCol w:w="8253"/>
      </w:tblGrid>
      <w:tr w:rsidR="00FF2A1C">
        <w:tc>
          <w:tcPr>
            <w:tcW w:w="8253" w:type="dxa"/>
            <w:tcBorders>
              <w:top w:val="single" w:sz="4" w:space="0" w:color="auto"/>
            </w:tcBorders>
            <w:tcMar>
              <w:top w:w="54" w:type="dxa"/>
              <w:left w:w="107" w:type="dxa"/>
              <w:bottom w:w="54" w:type="dxa"/>
              <w:right w:w="107" w:type="dxa"/>
            </w:tcMar>
            <w:vAlign w:val="center"/>
          </w:tcPr>
          <w:p w:rsidR="00FF2A1C" w:rsidRDefault="00236B06">
            <w:pPr>
              <w:pStyle w:val="a7"/>
              <w:spacing w:before="0" w:beforeAutospacing="0" w:after="0" w:afterAutospacing="0" w:line="600" w:lineRule="exact"/>
              <w:ind w:firstLineChars="200" w:firstLine="482"/>
              <w:jc w:val="center"/>
              <w:rPr>
                <w:rFonts w:ascii="仿宋" w:eastAsia="仿宋" w:hAnsi="仿宋"/>
                <w:color w:val="404040"/>
              </w:rPr>
            </w:pPr>
            <w:r>
              <w:rPr>
                <w:rStyle w:val="a8"/>
                <w:rFonts w:ascii="仿宋" w:eastAsia="仿宋" w:hAnsi="仿宋" w:hint="eastAsia"/>
                <w:color w:val="404040"/>
              </w:rPr>
              <w:t>各支行、网点</w:t>
            </w:r>
          </w:p>
        </w:tc>
      </w:tr>
    </w:tbl>
    <w:p w:rsidR="00FF2A1C" w:rsidRDefault="00FF2A1C">
      <w:pPr>
        <w:spacing w:line="600" w:lineRule="exact"/>
        <w:ind w:firstLineChars="200" w:firstLine="480"/>
        <w:rPr>
          <w:rFonts w:ascii="仿宋" w:eastAsia="仿宋" w:hAnsi="仿宋"/>
          <w:vanish/>
          <w:sz w:val="24"/>
          <w:szCs w:val="24"/>
        </w:rPr>
      </w:pPr>
    </w:p>
    <w:p w:rsidR="00FF2A1C" w:rsidRDefault="00FF2A1C">
      <w:pPr>
        <w:spacing w:line="600" w:lineRule="exact"/>
        <w:ind w:firstLineChars="200" w:firstLine="480"/>
        <w:rPr>
          <w:rFonts w:ascii="仿宋" w:eastAsia="仿宋" w:hAnsi="仿宋"/>
          <w:vanish/>
          <w:sz w:val="24"/>
          <w:szCs w:val="24"/>
        </w:rPr>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253"/>
      </w:tblGrid>
      <w:tr w:rsidR="00FF2A1C">
        <w:tc>
          <w:tcPr>
            <w:tcW w:w="8253" w:type="dxa"/>
            <w:tcMar>
              <w:top w:w="54" w:type="dxa"/>
              <w:left w:w="107" w:type="dxa"/>
              <w:bottom w:w="54" w:type="dxa"/>
              <w:right w:w="107" w:type="dxa"/>
            </w:tcMar>
            <w:vAlign w:val="center"/>
          </w:tcPr>
          <w:p w:rsidR="00FF2A1C" w:rsidRDefault="00236B06">
            <w:pPr>
              <w:pStyle w:val="a7"/>
              <w:spacing w:before="0" w:beforeAutospacing="0" w:after="0" w:afterAutospacing="0" w:line="600" w:lineRule="exact"/>
              <w:ind w:firstLineChars="200" w:firstLine="482"/>
              <w:jc w:val="center"/>
              <w:rPr>
                <w:rFonts w:ascii="仿宋" w:eastAsia="仿宋" w:hAnsi="仿宋"/>
                <w:color w:val="404040"/>
              </w:rPr>
            </w:pPr>
            <w:r>
              <w:rPr>
                <w:rStyle w:val="a8"/>
                <w:rFonts w:ascii="仿宋" w:eastAsia="仿宋" w:hAnsi="仿宋" w:hint="eastAsia"/>
                <w:color w:val="404040"/>
              </w:rPr>
              <w:t>信贷管理部</w:t>
            </w:r>
          </w:p>
        </w:tc>
      </w:tr>
    </w:tbl>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微软雅黑" w:eastAsia="仿宋" w:hAnsi="微软雅黑" w:hint="eastAsia"/>
          <w:color w:val="404040"/>
          <w:sz w:val="30"/>
          <w:szCs w:val="30"/>
        </w:rPr>
        <w:t> </w:t>
      </w:r>
      <w:r>
        <w:rPr>
          <w:rFonts w:ascii="仿宋" w:eastAsia="仿宋" w:hAnsi="仿宋" w:cs="Times New Roman" w:hint="eastAsia"/>
          <w:color w:val="000000"/>
          <w:sz w:val="30"/>
          <w:szCs w:val="30"/>
        </w:rPr>
        <w:t>信贷管理部主要负责贷款调查、审查、贷后管理、制度建设、不良贷款管理等工作；各支行、网点主要负责贷款发放与支付的审核与资金监控；风险合规部主要负责贷款合规风险、道德风险检查；贷审会负责授权范围内贷款的审批；行长负责对贷款进行审批。</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3、资产风险分类的程序和方法。本行通过“资产五级分类法”来规范资产风险分类管理，采取“按月认定，实时调整”的原则，按月对所有信贷资产进行一次五级分类，同时将信贷资产质量五级分类纳入日常信贷管理工作，根据信贷资产风险变化情况进行实时监控和调整,按月统计汇总上报五级分类结果。本行通过现场查阅和分析手段，获取借款人财务、现金流量、担保、非财务等方面的信息。分类时对影响借款人还款能力的各类因素评估结论，作为判定贷款类别的主要依据，并注重第一还款来源。</w:t>
      </w:r>
    </w:p>
    <w:p w:rsidR="00FF2A1C" w:rsidRDefault="00236B06">
      <w:pPr>
        <w:pStyle w:val="a7"/>
        <w:spacing w:before="0" w:beforeAutospacing="0" w:after="0" w:afterAutospacing="0" w:line="600" w:lineRule="exact"/>
        <w:ind w:firstLineChars="200" w:firstLine="600"/>
        <w:jc w:val="both"/>
        <w:rPr>
          <w:rFonts w:ascii="仿宋" w:eastAsia="仿宋" w:hAnsi="仿宋"/>
          <w:color w:val="FF0000"/>
          <w:sz w:val="30"/>
          <w:szCs w:val="30"/>
        </w:rPr>
      </w:pPr>
      <w:r>
        <w:rPr>
          <w:rFonts w:ascii="仿宋" w:eastAsia="仿宋" w:hAnsi="仿宋" w:cs="Times New Roman" w:hint="eastAsia"/>
          <w:color w:val="000000"/>
          <w:sz w:val="30"/>
          <w:szCs w:val="30"/>
        </w:rPr>
        <w:t>4、信用风险分布情况。本行产生信用风险的活动主要是各类信贷业务活动，信用风险主要分布在信贷业务。报告期末，</w:t>
      </w:r>
      <w:r>
        <w:rPr>
          <w:rFonts w:ascii="仿宋" w:eastAsia="仿宋" w:hAnsi="仿宋" w:cs="Times New Roman" w:hint="eastAsia"/>
          <w:color w:val="FF0000"/>
          <w:sz w:val="30"/>
          <w:szCs w:val="30"/>
        </w:rPr>
        <w:lastRenderedPageBreak/>
        <w:t>本行正常类贷款3865</w:t>
      </w:r>
      <w:r w:rsidR="008B46BE">
        <w:rPr>
          <w:rFonts w:ascii="仿宋" w:eastAsia="仿宋" w:hAnsi="仿宋" w:cs="Times New Roman" w:hint="eastAsia"/>
          <w:color w:val="FF0000"/>
          <w:sz w:val="30"/>
          <w:szCs w:val="30"/>
        </w:rPr>
        <w:t>6</w:t>
      </w:r>
      <w:r>
        <w:rPr>
          <w:rFonts w:ascii="仿宋" w:eastAsia="仿宋" w:hAnsi="仿宋" w:cs="Times New Roman" w:hint="eastAsia"/>
          <w:color w:val="FF0000"/>
          <w:sz w:val="30"/>
          <w:szCs w:val="30"/>
        </w:rPr>
        <w:t>万元，关注类贷款31</w:t>
      </w:r>
      <w:r w:rsidR="008B46BE">
        <w:rPr>
          <w:rFonts w:ascii="仿宋" w:eastAsia="仿宋" w:hAnsi="仿宋" w:cs="Times New Roman" w:hint="eastAsia"/>
          <w:color w:val="FF0000"/>
          <w:sz w:val="30"/>
          <w:szCs w:val="30"/>
        </w:rPr>
        <w:t>5</w:t>
      </w:r>
      <w:r>
        <w:rPr>
          <w:rFonts w:ascii="仿宋" w:eastAsia="仿宋" w:hAnsi="仿宋" w:cs="Times New Roman" w:hint="eastAsia"/>
          <w:color w:val="FF0000"/>
          <w:sz w:val="30"/>
          <w:szCs w:val="30"/>
        </w:rPr>
        <w:t>万元，次级类2.2万元，可疑类71</w:t>
      </w:r>
      <w:r w:rsidR="008B46BE">
        <w:rPr>
          <w:rFonts w:ascii="仿宋" w:eastAsia="仿宋" w:hAnsi="仿宋" w:cs="Times New Roman" w:hint="eastAsia"/>
          <w:color w:val="FF0000"/>
          <w:sz w:val="30"/>
          <w:szCs w:val="30"/>
        </w:rPr>
        <w:t>1</w:t>
      </w:r>
      <w:r>
        <w:rPr>
          <w:rFonts w:ascii="仿宋" w:eastAsia="仿宋" w:hAnsi="仿宋" w:cs="Times New Roman" w:hint="eastAsia"/>
          <w:color w:val="FF0000"/>
          <w:sz w:val="30"/>
          <w:szCs w:val="30"/>
        </w:rPr>
        <w:t>万元。</w:t>
      </w:r>
    </w:p>
    <w:p w:rsidR="00FF2A1C" w:rsidRDefault="00236B06">
      <w:pPr>
        <w:pStyle w:val="a7"/>
        <w:spacing w:before="0" w:beforeAutospacing="0" w:after="0" w:afterAutospacing="0" w:line="600" w:lineRule="exact"/>
        <w:ind w:firstLineChars="200" w:firstLine="600"/>
        <w:jc w:val="both"/>
        <w:rPr>
          <w:rFonts w:ascii="仿宋" w:eastAsia="仿宋" w:hAnsi="仿宋"/>
          <w:color w:val="000000" w:themeColor="text1"/>
          <w:sz w:val="30"/>
          <w:szCs w:val="30"/>
        </w:rPr>
      </w:pPr>
      <w:r>
        <w:rPr>
          <w:rFonts w:ascii="仿宋" w:eastAsia="仿宋" w:hAnsi="仿宋" w:cs="Times New Roman" w:hint="eastAsia"/>
          <w:color w:val="000000" w:themeColor="text1"/>
          <w:sz w:val="30"/>
          <w:szCs w:val="30"/>
        </w:rPr>
        <w:t>5、信用风险集中度。报告期末，本行最大单一客户贷款比例为</w:t>
      </w:r>
      <w:r>
        <w:rPr>
          <w:rFonts w:ascii="仿宋" w:eastAsia="仿宋" w:hAnsi="仿宋" w:cs="Times New Roman" w:hint="eastAsia"/>
          <w:color w:val="FF0000"/>
          <w:sz w:val="30"/>
          <w:szCs w:val="30"/>
        </w:rPr>
        <w:t>6.78%</w:t>
      </w:r>
      <w:r>
        <w:rPr>
          <w:rFonts w:ascii="仿宋" w:eastAsia="仿宋" w:hAnsi="仿宋" w:cs="Times New Roman" w:hint="eastAsia"/>
          <w:color w:val="000000"/>
          <w:sz w:val="30"/>
          <w:szCs w:val="30"/>
        </w:rPr>
        <w:t>。</w:t>
      </w:r>
    </w:p>
    <w:p w:rsidR="00FF2A1C" w:rsidRDefault="00236B06">
      <w:pPr>
        <w:pStyle w:val="a7"/>
        <w:spacing w:before="0" w:beforeAutospacing="0" w:after="0" w:afterAutospacing="0" w:line="600" w:lineRule="exact"/>
        <w:ind w:firstLineChars="200" w:firstLine="600"/>
        <w:jc w:val="both"/>
        <w:rPr>
          <w:rFonts w:ascii="仿宋" w:eastAsia="仿宋" w:hAnsi="仿宋"/>
          <w:color w:val="FF0000"/>
          <w:sz w:val="30"/>
          <w:szCs w:val="30"/>
        </w:rPr>
      </w:pPr>
      <w:r>
        <w:rPr>
          <w:rFonts w:ascii="仿宋" w:eastAsia="仿宋" w:hAnsi="仿宋" w:cs="Times New Roman" w:hint="eastAsia"/>
          <w:color w:val="404040"/>
          <w:sz w:val="30"/>
          <w:szCs w:val="30"/>
        </w:rPr>
        <w:t>6、</w:t>
      </w:r>
      <w:r>
        <w:rPr>
          <w:rFonts w:ascii="仿宋" w:eastAsia="仿宋" w:hAnsi="仿宋" w:cs="Times New Roman" w:hint="eastAsia"/>
          <w:sz w:val="30"/>
          <w:szCs w:val="30"/>
        </w:rPr>
        <w:t>逾期贷款的账龄分析。报告期末，</w:t>
      </w:r>
      <w:r>
        <w:rPr>
          <w:rFonts w:ascii="仿宋" w:eastAsia="仿宋" w:hAnsi="仿宋" w:cs="Times New Roman" w:hint="eastAsia"/>
          <w:color w:val="FF0000"/>
          <w:sz w:val="30"/>
          <w:szCs w:val="30"/>
        </w:rPr>
        <w:t>本行逾期贷款共计67户，逾期金额为102</w:t>
      </w:r>
      <w:r w:rsidR="008B46BE">
        <w:rPr>
          <w:rFonts w:ascii="仿宋" w:eastAsia="仿宋" w:hAnsi="仿宋" w:cs="Times New Roman" w:hint="eastAsia"/>
          <w:color w:val="FF0000"/>
          <w:sz w:val="30"/>
          <w:szCs w:val="30"/>
        </w:rPr>
        <w:t>7</w:t>
      </w:r>
      <w:r>
        <w:rPr>
          <w:rFonts w:ascii="仿宋" w:eastAsia="仿宋" w:hAnsi="仿宋" w:cs="Times New Roman" w:hint="eastAsia"/>
          <w:color w:val="FF0000"/>
          <w:sz w:val="30"/>
          <w:szCs w:val="30"/>
        </w:rPr>
        <w:t>万元。其中：逾期90天以内的贷款为31</w:t>
      </w:r>
      <w:r w:rsidR="008B46BE">
        <w:rPr>
          <w:rFonts w:ascii="仿宋" w:eastAsia="仿宋" w:hAnsi="仿宋" w:cs="Times New Roman" w:hint="eastAsia"/>
          <w:color w:val="FF0000"/>
          <w:sz w:val="30"/>
          <w:szCs w:val="30"/>
        </w:rPr>
        <w:t>5</w:t>
      </w:r>
      <w:r>
        <w:rPr>
          <w:rFonts w:ascii="仿宋" w:eastAsia="仿宋" w:hAnsi="仿宋" w:cs="Times New Roman" w:hint="eastAsia"/>
          <w:color w:val="FF0000"/>
          <w:sz w:val="30"/>
          <w:szCs w:val="30"/>
        </w:rPr>
        <w:t>万元，逾期91天到360天贷款为16万元，逾期361天以上贷款为697万元。</w:t>
      </w:r>
    </w:p>
    <w:p w:rsidR="00FF2A1C" w:rsidRDefault="00236B06">
      <w:pPr>
        <w:pStyle w:val="a7"/>
        <w:spacing w:before="0" w:beforeAutospacing="0" w:after="0" w:afterAutospacing="0" w:line="600" w:lineRule="exact"/>
        <w:ind w:firstLineChars="200" w:firstLine="600"/>
        <w:jc w:val="both"/>
        <w:rPr>
          <w:rFonts w:ascii="仿宋" w:eastAsia="仿宋" w:hAnsi="仿宋"/>
          <w:color w:val="000000" w:themeColor="text1"/>
          <w:sz w:val="30"/>
          <w:szCs w:val="30"/>
        </w:rPr>
      </w:pPr>
      <w:r>
        <w:rPr>
          <w:rFonts w:ascii="仿宋" w:eastAsia="仿宋" w:hAnsi="仿宋" w:cs="Times New Roman" w:hint="eastAsia"/>
          <w:color w:val="000000" w:themeColor="text1"/>
          <w:sz w:val="30"/>
          <w:szCs w:val="30"/>
        </w:rPr>
        <w:t>7、贷款重组。报告期内，没有贷款重组情况。</w:t>
      </w:r>
    </w:p>
    <w:p w:rsidR="00FF2A1C" w:rsidRDefault="00236B06">
      <w:pPr>
        <w:pStyle w:val="2"/>
        <w:spacing w:line="600" w:lineRule="exact"/>
        <w:ind w:firstLineChars="200" w:firstLine="602"/>
        <w:jc w:val="both"/>
        <w:rPr>
          <w:rFonts w:ascii="仿宋" w:eastAsia="仿宋" w:hAnsi="仿宋"/>
          <w:color w:val="404040"/>
          <w:sz w:val="30"/>
          <w:szCs w:val="30"/>
        </w:rPr>
      </w:pPr>
      <w:r>
        <w:rPr>
          <w:rStyle w:val="a8"/>
          <w:rFonts w:ascii="Arial" w:eastAsia="仿宋" w:hAnsi="Arial" w:cs="Arial"/>
          <w:b/>
          <w:bCs/>
          <w:color w:val="404040"/>
          <w:sz w:val="30"/>
          <w:szCs w:val="30"/>
        </w:rPr>
        <w:t>   </w:t>
      </w:r>
      <w:r>
        <w:rPr>
          <w:rStyle w:val="apple-converted-space"/>
          <w:rFonts w:ascii="Arial" w:eastAsia="仿宋" w:hAnsi="Arial" w:cs="Arial"/>
          <w:color w:val="404040"/>
          <w:sz w:val="30"/>
          <w:szCs w:val="30"/>
        </w:rPr>
        <w:t> </w:t>
      </w:r>
      <w:bookmarkStart w:id="28" w:name="_Toc481080005"/>
      <w:r>
        <w:rPr>
          <w:rStyle w:val="a8"/>
          <w:rFonts w:ascii="仿宋" w:eastAsia="仿宋" w:hAnsi="仿宋" w:cs="Arial" w:hint="eastAsia"/>
          <w:color w:val="000000"/>
          <w:sz w:val="30"/>
          <w:szCs w:val="30"/>
        </w:rPr>
        <w:t>二、</w:t>
      </w:r>
      <w:bookmarkEnd w:id="28"/>
      <w:r>
        <w:rPr>
          <w:rStyle w:val="a8"/>
          <w:rFonts w:ascii="仿宋" w:eastAsia="仿宋" w:hAnsi="仿宋" w:cs="Arial" w:hint="eastAsia"/>
          <w:b/>
          <w:bCs/>
          <w:color w:val="000000"/>
          <w:sz w:val="30"/>
          <w:szCs w:val="30"/>
        </w:rPr>
        <w:t>流动性风险状况</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流动性风险指商业银行不能满足存款支取和合理的贷款发放而给银行自身业务所带来的影响</w:t>
      </w:r>
      <w:bookmarkStart w:id="29" w:name="_Toc227401527"/>
      <w:bookmarkStart w:id="30" w:name="_Toc193883048"/>
      <w:bookmarkEnd w:id="29"/>
      <w:r>
        <w:rPr>
          <w:rFonts w:ascii="仿宋" w:eastAsia="仿宋" w:hAnsi="仿宋" w:cs="Tahoma" w:hint="eastAsia"/>
          <w:color w:val="000000"/>
          <w:sz w:val="30"/>
          <w:szCs w:val="30"/>
        </w:rPr>
        <w:t>。影响流动性的因素主要包括：“短存长贷”为特征的期限结构匹配不当是造成银行流动性风险的内在根本原因；在以存款准备金率、利率、不良贷款率为冲击因素的动态压力测试中, 存款准备金率对银行流动性冲击最大,其次才是利率的冲击,而不良贷款率因素是伴随上述冲击同时发生的。</w:t>
      </w:r>
      <w:bookmarkEnd w:id="30"/>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（一）董事会、经营管理层对流动性风险的监控能力</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bookmarkStart w:id="31" w:name="_Toc227401528"/>
      <w:bookmarkStart w:id="32" w:name="_Toc322415023"/>
      <w:bookmarkStart w:id="33" w:name="_Toc193883049"/>
      <w:bookmarkEnd w:id="31"/>
      <w:bookmarkEnd w:id="32"/>
      <w:r>
        <w:rPr>
          <w:rFonts w:ascii="仿宋" w:eastAsia="仿宋" w:hAnsi="仿宋" w:cs="Tahoma" w:hint="eastAsia"/>
          <w:color w:val="000000"/>
          <w:sz w:val="30"/>
          <w:szCs w:val="30"/>
        </w:rPr>
        <w:t>本行董事会、经营管理层通过加强流动性风险日常监测，重点监测存款来源、贷款期限结构、现金头寸、流动性与备付率等指标的变化情况，及时发现风险，做好流动性风险预警和</w:t>
      </w:r>
      <w:r>
        <w:rPr>
          <w:rFonts w:ascii="仿宋" w:eastAsia="仿宋" w:hAnsi="仿宋" w:cs="Tahoma" w:hint="eastAsia"/>
          <w:color w:val="000000"/>
          <w:sz w:val="30"/>
          <w:szCs w:val="30"/>
        </w:rPr>
        <w:lastRenderedPageBreak/>
        <w:t>风险提示，开展压力测试，提示和识别风险，提前采取防范措施。</w:t>
      </w:r>
      <w:bookmarkEnd w:id="33"/>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（二）风险管理的政策和程序</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1、管理政策。本行严格遵守《商业银行法》规定的安全性、流动性、效益性的经营原则，在确保资金安全和正常流动的前提下,实现盈利。</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2、管理程序。本行计划财务部是本行流动性风险管理的监测部门，负责对流动性进行系统深入的管理和控制。在管理程序上，本行明确流动性管理的目标，包括新增存贷款、存贷比例等，计划财务部负责跟踪分析流动性需求和流动性供给，避免流动性头寸过量或不足。在日常业务管理中，计划财务部监测流动性风险,一旦发现风险达到警戒线就及时向领导报告，发出预警信号。同时，建立流动性风险处置预案,提高避险能力,一旦预警,将在限定时间内采取有效地措施进行补救,尽量把风险控制在最小范围内。</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（三）风险计量、检测和管理信息系统</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流动性风险暂无风险计量、检测和管理信息系统。</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（四）内部控制和全面审计情况</w:t>
      </w:r>
    </w:p>
    <w:p w:rsidR="00FF2A1C" w:rsidRDefault="00236B06">
      <w:pPr>
        <w:spacing w:line="600" w:lineRule="exact"/>
        <w:ind w:firstLineChars="200" w:firstLine="600"/>
        <w:jc w:val="both"/>
        <w:rPr>
          <w:rFonts w:ascii="仿宋" w:eastAsia="仿宋" w:hAnsi="仿宋" w:cs="Tahoma"/>
          <w:color w:val="000000"/>
          <w:sz w:val="30"/>
          <w:szCs w:val="30"/>
        </w:rPr>
      </w:pPr>
      <w:r>
        <w:rPr>
          <w:rFonts w:ascii="仿宋" w:eastAsia="仿宋" w:hAnsi="仿宋" w:cs="Tahoma" w:hint="eastAsia"/>
          <w:color w:val="000000"/>
          <w:sz w:val="30"/>
          <w:szCs w:val="30"/>
        </w:rPr>
        <w:t>本行已制定《流动性风险管理办法》、《流动性风险及重大突发事件应急预案》等制度，逐步健全了应对流动性风险的预警机制，提高防范流动性风险的能力。报告期内，本行大力吸收储蓄存款，确保存款的稳定性。</w:t>
      </w:r>
      <w:bookmarkStart w:id="34" w:name="_Toc193883052"/>
      <w:bookmarkStart w:id="35" w:name="_Toc227401530"/>
      <w:bookmarkEnd w:id="34"/>
      <w:bookmarkEnd w:id="35"/>
      <w:r>
        <w:rPr>
          <w:rFonts w:ascii="仿宋" w:eastAsia="仿宋" w:hAnsi="仿宋" w:cs="Tahoma" w:hint="eastAsia"/>
          <w:color w:val="000000"/>
          <w:sz w:val="30"/>
          <w:szCs w:val="30"/>
        </w:rPr>
        <w:t>2021年末，本行储蓄存款余额占存款余额的</w:t>
      </w:r>
      <w:r>
        <w:rPr>
          <w:rFonts w:ascii="仿宋" w:eastAsia="仿宋" w:hAnsi="仿宋" w:cs="Tahoma" w:hint="eastAsia"/>
          <w:color w:val="FF0000"/>
          <w:sz w:val="30"/>
          <w:szCs w:val="30"/>
        </w:rPr>
        <w:t>8</w:t>
      </w:r>
      <w:r w:rsidR="008B46BE">
        <w:rPr>
          <w:rFonts w:ascii="仿宋" w:eastAsia="仿宋" w:hAnsi="仿宋" w:cs="Tahoma" w:hint="eastAsia"/>
          <w:color w:val="FF0000"/>
          <w:sz w:val="30"/>
          <w:szCs w:val="30"/>
        </w:rPr>
        <w:t>9</w:t>
      </w:r>
      <w:r>
        <w:rPr>
          <w:rFonts w:ascii="仿宋" w:eastAsia="仿宋" w:hAnsi="仿宋" w:cs="Tahoma" w:hint="eastAsia"/>
          <w:color w:val="FF0000"/>
          <w:sz w:val="30"/>
          <w:szCs w:val="30"/>
        </w:rPr>
        <w:t>%</w:t>
      </w:r>
      <w:r>
        <w:rPr>
          <w:rFonts w:ascii="仿宋" w:eastAsia="仿宋" w:hAnsi="仿宋" w:cs="Tahoma" w:hint="eastAsia"/>
          <w:color w:val="000000"/>
          <w:sz w:val="30"/>
          <w:szCs w:val="30"/>
        </w:rPr>
        <w:t>，其中定期储蓄存款占储蓄存款的</w:t>
      </w:r>
      <w:r>
        <w:rPr>
          <w:rFonts w:ascii="仿宋" w:eastAsia="仿宋" w:hAnsi="仿宋" w:cs="Tahoma" w:hint="eastAsia"/>
          <w:color w:val="FF0000"/>
          <w:sz w:val="30"/>
          <w:szCs w:val="30"/>
        </w:rPr>
        <w:t>83%</w:t>
      </w:r>
      <w:r>
        <w:rPr>
          <w:rFonts w:ascii="仿宋" w:eastAsia="仿宋" w:hAnsi="仿宋" w:cs="Tahoma" w:hint="eastAsia"/>
          <w:color w:val="000000"/>
          <w:sz w:val="30"/>
          <w:szCs w:val="30"/>
        </w:rPr>
        <w:t>。</w:t>
      </w:r>
      <w:r>
        <w:rPr>
          <w:rFonts w:ascii="仿宋" w:eastAsia="仿宋" w:hAnsi="仿宋" w:cs="Tahoma" w:hint="eastAsia"/>
          <w:color w:val="000000"/>
          <w:sz w:val="30"/>
          <w:szCs w:val="30"/>
        </w:rPr>
        <w:lastRenderedPageBreak/>
        <w:t>本行的流动性资产为</w:t>
      </w:r>
      <w:r>
        <w:rPr>
          <w:rFonts w:ascii="仿宋" w:eastAsia="仿宋" w:hAnsi="仿宋" w:cs="Tahoma" w:hint="eastAsia"/>
          <w:color w:val="FF0000"/>
          <w:sz w:val="30"/>
          <w:szCs w:val="30"/>
        </w:rPr>
        <w:t>3534</w:t>
      </w:r>
      <w:r w:rsidR="008B46BE">
        <w:rPr>
          <w:rFonts w:ascii="仿宋" w:eastAsia="仿宋" w:hAnsi="仿宋" w:cs="Tahoma" w:hint="eastAsia"/>
          <w:color w:val="FF0000"/>
          <w:sz w:val="30"/>
          <w:szCs w:val="30"/>
        </w:rPr>
        <w:t>5</w:t>
      </w:r>
      <w:r>
        <w:rPr>
          <w:rFonts w:ascii="仿宋" w:eastAsia="仿宋" w:hAnsi="仿宋" w:cs="Tahoma" w:hint="eastAsia"/>
          <w:color w:val="000000"/>
          <w:sz w:val="30"/>
          <w:szCs w:val="30"/>
        </w:rPr>
        <w:t>万元，流动性负债为</w:t>
      </w:r>
      <w:r>
        <w:rPr>
          <w:rFonts w:ascii="仿宋" w:eastAsia="仿宋" w:hAnsi="仿宋" w:cs="Tahoma" w:hint="eastAsia"/>
          <w:color w:val="FF0000"/>
          <w:sz w:val="30"/>
          <w:szCs w:val="30"/>
        </w:rPr>
        <w:t>1877</w:t>
      </w:r>
      <w:r w:rsidR="008B46BE">
        <w:rPr>
          <w:rFonts w:ascii="仿宋" w:eastAsia="仿宋" w:hAnsi="仿宋" w:cs="Tahoma" w:hint="eastAsia"/>
          <w:color w:val="FF0000"/>
          <w:sz w:val="30"/>
          <w:szCs w:val="30"/>
        </w:rPr>
        <w:t>4</w:t>
      </w:r>
      <w:r>
        <w:rPr>
          <w:rFonts w:ascii="仿宋" w:eastAsia="仿宋" w:hAnsi="仿宋" w:cs="Tahoma" w:hint="eastAsia"/>
          <w:color w:val="000000"/>
          <w:sz w:val="30"/>
          <w:szCs w:val="30"/>
        </w:rPr>
        <w:t>万元，资产负债比为</w:t>
      </w:r>
      <w:r>
        <w:rPr>
          <w:rFonts w:ascii="仿宋" w:eastAsia="仿宋" w:hAnsi="仿宋" w:cs="Tahoma" w:hint="eastAsia"/>
          <w:color w:val="FF0000"/>
          <w:sz w:val="30"/>
          <w:szCs w:val="30"/>
        </w:rPr>
        <w:t>91.</w:t>
      </w:r>
      <w:r w:rsidR="008B46BE">
        <w:rPr>
          <w:rFonts w:ascii="仿宋" w:eastAsia="仿宋" w:hAnsi="仿宋" w:cs="Tahoma" w:hint="eastAsia"/>
          <w:color w:val="FF0000"/>
          <w:sz w:val="30"/>
          <w:szCs w:val="30"/>
        </w:rPr>
        <w:t>1</w:t>
      </w:r>
      <w:r>
        <w:rPr>
          <w:rFonts w:ascii="仿宋" w:eastAsia="仿宋" w:hAnsi="仿宋" w:cs="Tahoma" w:hint="eastAsia"/>
          <w:color w:val="FF0000"/>
          <w:sz w:val="30"/>
          <w:szCs w:val="30"/>
        </w:rPr>
        <w:t>%</w:t>
      </w:r>
      <w:r>
        <w:rPr>
          <w:rFonts w:ascii="仿宋" w:eastAsia="仿宋" w:hAnsi="仿宋" w:cs="Tahoma" w:hint="eastAsia"/>
          <w:color w:val="000000"/>
          <w:sz w:val="30"/>
          <w:szCs w:val="30"/>
        </w:rPr>
        <w:t>，存贷比例为</w:t>
      </w:r>
      <w:r w:rsidR="008B46BE">
        <w:rPr>
          <w:rFonts w:ascii="仿宋" w:eastAsia="仿宋" w:hAnsi="仿宋" w:cs="Tahoma" w:hint="eastAsia"/>
          <w:color w:val="FF0000"/>
          <w:sz w:val="30"/>
          <w:szCs w:val="30"/>
        </w:rPr>
        <w:t>66.</w:t>
      </w:r>
      <w:r>
        <w:rPr>
          <w:rFonts w:ascii="仿宋" w:eastAsia="仿宋" w:hAnsi="仿宋" w:cs="Tahoma" w:hint="eastAsia"/>
          <w:color w:val="FF0000"/>
          <w:sz w:val="30"/>
          <w:szCs w:val="30"/>
        </w:rPr>
        <w:t>9%</w:t>
      </w:r>
      <w:r>
        <w:rPr>
          <w:rFonts w:ascii="仿宋" w:eastAsia="仿宋" w:hAnsi="仿宋" w:cs="Tahoma" w:hint="eastAsia"/>
          <w:color w:val="000000"/>
          <w:sz w:val="30"/>
          <w:szCs w:val="30"/>
        </w:rPr>
        <w:t>，流动性比例为</w:t>
      </w:r>
      <w:r>
        <w:rPr>
          <w:rFonts w:ascii="仿宋" w:eastAsia="仿宋" w:hAnsi="仿宋" w:cs="Tahoma" w:hint="eastAsia"/>
          <w:color w:val="FF0000"/>
          <w:sz w:val="30"/>
          <w:szCs w:val="30"/>
        </w:rPr>
        <w:t>188.</w:t>
      </w:r>
      <w:r w:rsidR="008B46BE">
        <w:rPr>
          <w:rFonts w:ascii="仿宋" w:eastAsia="仿宋" w:hAnsi="仿宋" w:cs="Tahoma" w:hint="eastAsia"/>
          <w:color w:val="FF0000"/>
          <w:sz w:val="30"/>
          <w:szCs w:val="30"/>
        </w:rPr>
        <w:t>3</w:t>
      </w:r>
      <w:r>
        <w:rPr>
          <w:rFonts w:ascii="仿宋" w:eastAsia="仿宋" w:hAnsi="仿宋" w:cs="Tahoma" w:hint="eastAsia"/>
          <w:color w:val="FF0000"/>
          <w:sz w:val="30"/>
          <w:szCs w:val="30"/>
        </w:rPr>
        <w:t>%</w:t>
      </w:r>
      <w:r>
        <w:rPr>
          <w:rFonts w:ascii="仿宋" w:eastAsia="仿宋" w:hAnsi="仿宋" w:cs="Tahoma" w:hint="eastAsia"/>
          <w:color w:val="000000"/>
          <w:sz w:val="30"/>
          <w:szCs w:val="30"/>
        </w:rPr>
        <w:t>，流动性缺口率</w:t>
      </w:r>
      <w:r>
        <w:rPr>
          <w:rFonts w:ascii="仿宋" w:eastAsia="仿宋" w:hAnsi="仿宋" w:cs="Tahoma" w:hint="eastAsia"/>
          <w:color w:val="FF0000"/>
          <w:sz w:val="30"/>
          <w:szCs w:val="30"/>
        </w:rPr>
        <w:t>6</w:t>
      </w:r>
      <w:r w:rsidR="008B46BE">
        <w:rPr>
          <w:rFonts w:ascii="仿宋" w:eastAsia="仿宋" w:hAnsi="仿宋" w:cs="Tahoma" w:hint="eastAsia"/>
          <w:color w:val="FF0000"/>
          <w:sz w:val="30"/>
          <w:szCs w:val="30"/>
        </w:rPr>
        <w:t>2</w:t>
      </w:r>
      <w:r>
        <w:rPr>
          <w:rFonts w:ascii="仿宋" w:eastAsia="仿宋" w:hAnsi="仿宋" w:cs="Tahoma" w:hint="eastAsia"/>
          <w:color w:val="FF0000"/>
          <w:sz w:val="30"/>
          <w:szCs w:val="30"/>
        </w:rPr>
        <w:t>%</w:t>
      </w:r>
      <w:r>
        <w:rPr>
          <w:rFonts w:ascii="仿宋" w:eastAsia="仿宋" w:hAnsi="仿宋" w:cs="Tahoma" w:hint="eastAsia"/>
          <w:color w:val="000000"/>
          <w:sz w:val="30"/>
          <w:szCs w:val="30"/>
        </w:rPr>
        <w:t>，核心负债依存度为</w:t>
      </w:r>
      <w:r>
        <w:rPr>
          <w:rFonts w:ascii="仿宋" w:eastAsia="仿宋" w:hAnsi="仿宋" w:cs="Tahoma" w:hint="eastAsia"/>
          <w:color w:val="FF0000"/>
          <w:sz w:val="30"/>
          <w:szCs w:val="30"/>
        </w:rPr>
        <w:t>61%</w:t>
      </w:r>
      <w:r>
        <w:rPr>
          <w:rFonts w:ascii="仿宋" w:eastAsia="仿宋" w:hAnsi="仿宋" w:cs="Tahoma" w:hint="eastAsia"/>
          <w:color w:val="000000"/>
          <w:sz w:val="30"/>
          <w:szCs w:val="30"/>
        </w:rPr>
        <w:t>，流动性风险基本可控。</w:t>
      </w:r>
    </w:p>
    <w:p w:rsidR="00FF2A1C" w:rsidRDefault="00236B06">
      <w:pPr>
        <w:pStyle w:val="20"/>
        <w:spacing w:before="0" w:beforeAutospacing="0" w:after="120" w:afterAutospacing="0" w:line="600" w:lineRule="exact"/>
        <w:ind w:left="420" w:firstLineChars="200" w:firstLine="602"/>
        <w:jc w:val="both"/>
        <w:rPr>
          <w:rFonts w:ascii="仿宋" w:eastAsia="仿宋" w:hAnsi="仿宋"/>
          <w:color w:val="404040"/>
          <w:sz w:val="30"/>
          <w:szCs w:val="30"/>
        </w:rPr>
      </w:pPr>
      <w:r>
        <w:rPr>
          <w:rStyle w:val="a8"/>
          <w:rFonts w:ascii="Tahoma" w:eastAsia="仿宋" w:hAnsi="Tahoma" w:cs="Tahoma"/>
          <w:color w:val="404040"/>
          <w:sz w:val="30"/>
          <w:szCs w:val="30"/>
        </w:rPr>
        <w:t> </w:t>
      </w:r>
      <w:bookmarkStart w:id="36" w:name="_Toc481080006"/>
      <w:r>
        <w:rPr>
          <w:rStyle w:val="a8"/>
          <w:rFonts w:ascii="仿宋" w:eastAsia="仿宋" w:hAnsi="仿宋" w:cs="Tahoma" w:hint="eastAsia"/>
          <w:color w:val="000000"/>
          <w:sz w:val="30"/>
          <w:szCs w:val="30"/>
        </w:rPr>
        <w:t>三、</w:t>
      </w:r>
      <w:bookmarkEnd w:id="36"/>
      <w:r>
        <w:rPr>
          <w:rStyle w:val="a8"/>
          <w:rFonts w:ascii="仿宋" w:eastAsia="仿宋" w:hAnsi="仿宋" w:cs="Tahoma" w:hint="eastAsia"/>
          <w:color w:val="000000"/>
          <w:sz w:val="30"/>
          <w:szCs w:val="30"/>
        </w:rPr>
        <w:t>市场风险状况</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bookmarkStart w:id="37" w:name="_Toc227401531"/>
      <w:bookmarkStart w:id="38" w:name="_Toc193883053"/>
      <w:bookmarkEnd w:id="37"/>
      <w:r>
        <w:rPr>
          <w:rFonts w:ascii="仿宋" w:eastAsia="仿宋" w:hAnsi="仿宋" w:cs="Tahoma" w:hint="eastAsia"/>
          <w:color w:val="000000"/>
          <w:sz w:val="30"/>
          <w:szCs w:val="30"/>
        </w:rPr>
        <w:t>市场风险是指因市场价格（利率、汇率、股票价格和商品价格）的不利变动而使本行表内和表外业务发生损失的风险。</w:t>
      </w:r>
      <w:bookmarkEnd w:id="38"/>
      <w:r>
        <w:rPr>
          <w:rFonts w:ascii="仿宋" w:eastAsia="仿宋" w:hAnsi="仿宋" w:cs="Tahoma" w:hint="eastAsia"/>
          <w:color w:val="404040"/>
          <w:sz w:val="30"/>
          <w:szCs w:val="30"/>
        </w:rPr>
        <w:t>本行目前的主要的利润来源仍是存贷款利差，因此市场利率波动对本行财务状况和现金流量有直接的影响。为降低利率风险，本行根据利率政策和经营环境的变化，本行实行利率浮动幅度范围内的差异化定价，改进贷款定价机制，加强成本分析和管理。本行进一步加强业务创新，改善收入结构，规避利率风险。</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bookmarkStart w:id="39" w:name="_Toc322415025"/>
      <w:r>
        <w:rPr>
          <w:rFonts w:ascii="仿宋" w:eastAsia="仿宋" w:hAnsi="仿宋" w:cs="Tahoma" w:hint="eastAsia"/>
          <w:color w:val="000000"/>
          <w:sz w:val="30"/>
          <w:szCs w:val="30"/>
        </w:rPr>
        <w:t>（一）董事会、经营管理层对市场风险的监控能力</w:t>
      </w:r>
      <w:bookmarkEnd w:id="39"/>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本行面临的市场风险主要是利率风险。为加强对利率风险的防范，本行董事会和经营管理层坚持流动性原则，以减少因贷款周期过长产生的重新定价风险；同时本行按照风险收益相匹配的原则，综合区域内资金供求状况、竞争状况及自身风险抵偿情况等因素，实行利率浮动幅度范围内的差异化定价。</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bookmarkStart w:id="40" w:name="_Toc322415026"/>
      <w:bookmarkStart w:id="41" w:name="_Toc227401532"/>
      <w:bookmarkStart w:id="42" w:name="_Toc193883054"/>
      <w:bookmarkEnd w:id="40"/>
      <w:bookmarkEnd w:id="41"/>
      <w:r>
        <w:rPr>
          <w:rFonts w:ascii="仿宋" w:eastAsia="仿宋" w:hAnsi="仿宋" w:cs="Tahoma" w:hint="eastAsia"/>
          <w:color w:val="000000"/>
          <w:sz w:val="30"/>
          <w:szCs w:val="30"/>
        </w:rPr>
        <w:t>（二）风险管理的政策和程序</w:t>
      </w:r>
      <w:bookmarkEnd w:id="42"/>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1、管理政策。利率风险是整个金融市场中最重要的风险。本行在贷款利率定价时坚持收益覆盖风险的原则。</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lastRenderedPageBreak/>
        <w:t>2、管理程序。董事会负责审批利率定价战略，确定本行可以承受的市场风险水平，督促高级管理层采取必要的措施识别、计量、监测和控制利率风险。本行利率定价管理委员会负责制定、定期审查和监督执行利率风险管理的政策、程序以及具体的操作规程，建立和完善科学的贷款利率定价机制，规范本行人民币贷款利率管理，及时了解市场风险水平及其管理状况。高级管理层负责制定、定期审查和监督执行市场风险管理的政策、程序以及具体的操作规程，及时了解市场风险水平及其管理状况，并有效监督主管业务部门识别、计量、监测和控制各项业务所承担的各类市场风险。本行可以开展的业务有：可以交易或投资的金融工具，可以采取的投资、保值和风险缓解策略和方法；开展市场风险管理组织结构、权限结构和责任机制；市场风险资本的分配等。</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（三）风险计量、检测和管理信息系统。</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市场风险暂无风险计量、检测和管理信息系统。</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（四）内部控制和全面审计情况。</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404040"/>
          <w:sz w:val="30"/>
          <w:szCs w:val="30"/>
        </w:rPr>
        <w:t>1、内控制度建设情况</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本行已制定《临猗新田村镇银行存款利率定价管理办法》、《临猗新田村镇银行贷款利率定价管理办法》，初步建立了市场风险管理方面的基本内控规范框架制度。</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404040"/>
          <w:sz w:val="30"/>
          <w:szCs w:val="30"/>
        </w:rPr>
        <w:t>2、全面审计情况</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404040"/>
          <w:sz w:val="30"/>
          <w:szCs w:val="30"/>
        </w:rPr>
        <w:t>一是本行服务价格行为严格遵守国家法律、法规、规章和有关监管规定，遵循公开、公平、诚实、信用的原则，遵循合</w:t>
      </w:r>
      <w:r>
        <w:rPr>
          <w:rFonts w:ascii="仿宋" w:eastAsia="仿宋" w:hAnsi="仿宋" w:cs="Tahoma" w:hint="eastAsia"/>
          <w:color w:val="404040"/>
          <w:sz w:val="30"/>
          <w:szCs w:val="30"/>
        </w:rPr>
        <w:lastRenderedPageBreak/>
        <w:t>规收费、以质定价、公开透明、减费让利的原则，遵循“七不准”和“四公开”的原则，接受社会监督，使银行服务持续发展与承担社会责任相统一。同时，本行能及时准确向人民银行报送利率监测报备信息，积极配合人民银行做好各项有关利率政策的调研工作，未出现错报、漏报的现象。</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404040"/>
          <w:sz w:val="30"/>
          <w:szCs w:val="30"/>
        </w:rPr>
        <w:t>二是本行的存款挂牌利率和实际执行利率均不高于市场利率定价自律机制规定的存款利率浮动区间上限，存款利率浮动幅度在基准利率1.5倍以内。</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404040"/>
          <w:sz w:val="30"/>
          <w:szCs w:val="30"/>
        </w:rPr>
        <w:t>三是本行根据不同客户对象、贷款品种、贷款方式、贷款期限、风险种类等，在进行成本、风险、收益等精细化核算的基础上实行差别化定价，在本行利率浮动的范围内进行贷款定价。政策性贷款业务，如国家助学贷款等，按照人民银行有关规定的利率执行。消费性贷款按照人民银行有关规定的利率执行。贴现贷款利率参照人民银行有关规定，结合市场利率水平确定。报告期内，本行利率风险敏感度为零，符合监管要求，累计外汇敞口头寸比例为零，市场风险基本可控。</w:t>
      </w:r>
    </w:p>
    <w:p w:rsidR="00FF2A1C" w:rsidRDefault="00236B06">
      <w:pPr>
        <w:pStyle w:val="2"/>
        <w:spacing w:line="600" w:lineRule="exact"/>
        <w:ind w:firstLineChars="200" w:firstLine="602"/>
        <w:jc w:val="both"/>
        <w:rPr>
          <w:rFonts w:ascii="仿宋" w:eastAsia="仿宋" w:hAnsi="仿宋"/>
          <w:color w:val="404040"/>
          <w:sz w:val="30"/>
          <w:szCs w:val="30"/>
        </w:rPr>
      </w:pPr>
      <w:bookmarkStart w:id="43" w:name="_Toc227401535"/>
      <w:bookmarkStart w:id="44" w:name="_Toc193883057"/>
      <w:bookmarkEnd w:id="43"/>
      <w:r>
        <w:rPr>
          <w:rStyle w:val="a8"/>
          <w:rFonts w:ascii="Arial" w:eastAsia="仿宋" w:hAnsi="Arial" w:cs="Arial"/>
          <w:b/>
          <w:bCs/>
          <w:color w:val="404040"/>
          <w:sz w:val="30"/>
          <w:szCs w:val="30"/>
        </w:rPr>
        <w:t>   </w:t>
      </w:r>
      <w:r>
        <w:rPr>
          <w:rStyle w:val="apple-converted-space"/>
          <w:rFonts w:ascii="Arial" w:eastAsia="仿宋" w:hAnsi="Arial" w:cs="Arial"/>
          <w:color w:val="404040"/>
          <w:sz w:val="30"/>
          <w:szCs w:val="30"/>
        </w:rPr>
        <w:t> </w:t>
      </w:r>
      <w:bookmarkStart w:id="45" w:name="_Toc481080007"/>
      <w:bookmarkEnd w:id="44"/>
      <w:r>
        <w:rPr>
          <w:rStyle w:val="a8"/>
          <w:rFonts w:ascii="仿宋" w:eastAsia="仿宋" w:hAnsi="仿宋" w:cs="Arial" w:hint="eastAsia"/>
          <w:b/>
          <w:bCs/>
          <w:color w:val="000000"/>
          <w:sz w:val="30"/>
          <w:szCs w:val="30"/>
        </w:rPr>
        <w:t>四、操作风险状况</w:t>
      </w:r>
      <w:bookmarkEnd w:id="45"/>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操作风险是指由于控制、系统及运营过程的错误或疏忽而可能引致潜在损失的风险。</w:t>
      </w:r>
      <w:r>
        <w:rPr>
          <w:rFonts w:ascii="仿宋" w:eastAsia="仿宋" w:hAnsi="仿宋" w:cs="Tahoma" w:hint="eastAsia"/>
          <w:color w:val="404040"/>
          <w:sz w:val="30"/>
          <w:szCs w:val="30"/>
        </w:rPr>
        <w:t>本行对各项业务操作制定了控制及风险管理措施，包括制度、环境、设施等方面。但任何的控制都可能因自身及外界环境的变化、当事者对某项事务的认知程</w:t>
      </w:r>
      <w:r>
        <w:rPr>
          <w:rFonts w:ascii="仿宋" w:eastAsia="仿宋" w:hAnsi="仿宋" w:cs="Tahoma" w:hint="eastAsia"/>
          <w:color w:val="404040"/>
          <w:sz w:val="30"/>
          <w:szCs w:val="30"/>
        </w:rPr>
        <w:lastRenderedPageBreak/>
        <w:t>度不够、制度执行不严格等原因，导致失去或减小效力，形成操作风险。</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404040"/>
          <w:sz w:val="30"/>
          <w:szCs w:val="30"/>
        </w:rPr>
        <w:t>本行坚持一级法人管理体制，已建立了股东会、董事会、监事会和高级管理层之间的权力制衡与利益制衡机制、科学决策机制与激励约束机制，形成了较为完善的经营决策、人力资源管理、风险控制、内部审计、信息披露和激励约束等运行管理体系。</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404040"/>
          <w:sz w:val="30"/>
          <w:szCs w:val="30"/>
        </w:rPr>
        <w:t>本行经营层着力完善内控体系，提高内审监督的力度，开展内部控制评估，及时、有效揭示风险隐患，实现依法合规经营。</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（一）董事会、经营管理层对风险的监控能力</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为防范操作风险，本行董事会、经营管理层贯彻落实岗位轮换、亲属回避及员工家访、员工行为排查等制度，从源头上控制操作风险的发生。</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（二）风险管理的政策和程序</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1、管理政策。本行坚持依法合规经营，制定了《临猗新田村镇银行大额风险暴露管理办法》，坚持在风险可控的前提下开展各项业务。</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2、管理程序。董事会负责确定本行可以承受的操作风险水平，督促高级管理层采取必要的措施识别、计量、监测和控制操作风险。本行经营管理层负责制定、定期审查和监督执行操作风险管理的具体的操作规程，及时了解操作风险水平及其管理状况。</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lastRenderedPageBreak/>
        <w:t>（三）内部控制和全面审计情况</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bookmarkStart w:id="46" w:name="_Toc481080008"/>
      <w:r>
        <w:rPr>
          <w:rFonts w:ascii="仿宋" w:eastAsia="仿宋" w:hAnsi="仿宋" w:cs="Tahoma" w:hint="eastAsia"/>
          <w:color w:val="000000"/>
          <w:sz w:val="30"/>
          <w:szCs w:val="30"/>
        </w:rPr>
        <w:t>本行建立了全面、系统、适时的内控制度体系，涵盖所有业务范围，包括三会一层、行政管理、会计核算、财务管理、统计工作、信贷管理、风险控制、安全保卫、科技管理、反洗钱和同业业务等，内部控制政策与措施覆盖各主要风险点，内部控制制度完整有效。2021年，本行持续加强内控制度体系建设，及时修改和完善各项内部控制制度，不断提升制度合理性，使各项制度符合法律法规和监管规定。</w:t>
      </w:r>
      <w:bookmarkEnd w:id="46"/>
    </w:p>
    <w:p w:rsidR="00FF2A1C" w:rsidRDefault="00236B06">
      <w:pPr>
        <w:pStyle w:val="20"/>
        <w:spacing w:before="0" w:beforeAutospacing="0" w:after="0" w:afterAutospacing="0" w:line="600" w:lineRule="exact"/>
        <w:ind w:firstLineChars="200" w:firstLine="640"/>
        <w:jc w:val="both"/>
        <w:rPr>
          <w:rFonts w:ascii="仿宋" w:eastAsia="仿宋" w:hAnsi="仿宋"/>
          <w:color w:val="404040"/>
          <w:sz w:val="30"/>
          <w:szCs w:val="30"/>
        </w:rPr>
      </w:pPr>
      <w:r>
        <w:rPr>
          <w:rFonts w:ascii="仿宋" w:eastAsia="仿宋" w:hAnsi="仿宋" w:cs="仿宋_GB2312" w:hint="eastAsia"/>
          <w:sz w:val="32"/>
          <w:szCs w:val="32"/>
        </w:rPr>
        <w:t>为了提高内控制度的执行力，规范我行各项业务合规操作，切实防范经营风险，本行有序</w:t>
      </w:r>
      <w:r>
        <w:rPr>
          <w:rFonts w:ascii="仿宋" w:eastAsia="仿宋" w:hAnsi="仿宋" w:hint="eastAsia"/>
          <w:sz w:val="32"/>
          <w:szCs w:val="32"/>
        </w:rPr>
        <w:t>开展了业务常规检查、突击检查、各类专项检查、安全检查、员工行为排查、市场乱象专项排查等方面的风险排查。</w:t>
      </w:r>
      <w:r>
        <w:rPr>
          <w:rFonts w:ascii="仿宋" w:eastAsia="仿宋" w:hAnsi="仿宋" w:cs="仿宋_GB2312" w:hint="eastAsia"/>
          <w:sz w:val="32"/>
          <w:szCs w:val="32"/>
        </w:rPr>
        <w:t>全年</w:t>
      </w:r>
      <w:r>
        <w:rPr>
          <w:rFonts w:ascii="仿宋" w:eastAsia="仿宋" w:hAnsi="仿宋" w:cs="仿宋_GB2312"/>
          <w:sz w:val="32"/>
          <w:szCs w:val="32"/>
        </w:rPr>
        <w:t>共</w:t>
      </w:r>
      <w:r>
        <w:rPr>
          <w:rFonts w:ascii="仿宋" w:eastAsia="仿宋" w:hAnsi="仿宋" w:cs="仿宋_GB2312" w:hint="eastAsia"/>
          <w:sz w:val="32"/>
          <w:szCs w:val="32"/>
        </w:rPr>
        <w:t>完成</w:t>
      </w:r>
      <w:r>
        <w:rPr>
          <w:rFonts w:ascii="仿宋" w:eastAsia="仿宋" w:hAnsi="仿宋" w:cs="仿宋_GB2312"/>
          <w:sz w:val="32"/>
          <w:szCs w:val="32"/>
        </w:rPr>
        <w:t>各项</w:t>
      </w:r>
      <w:r>
        <w:rPr>
          <w:rFonts w:ascii="仿宋" w:eastAsia="仿宋" w:hAnsi="仿宋" w:cs="仿宋_GB2312" w:hint="eastAsia"/>
          <w:sz w:val="32"/>
          <w:szCs w:val="32"/>
        </w:rPr>
        <w:t>稽核</w:t>
      </w:r>
      <w:r>
        <w:rPr>
          <w:rFonts w:ascii="仿宋" w:eastAsia="仿宋" w:hAnsi="仿宋" w:cs="仿宋_GB2312"/>
          <w:sz w:val="32"/>
          <w:szCs w:val="32"/>
        </w:rPr>
        <w:t>检查</w:t>
      </w:r>
      <w:r>
        <w:rPr>
          <w:rFonts w:ascii="仿宋" w:eastAsia="仿宋" w:hAnsi="仿宋" w:cs="仿宋_GB2312" w:hint="eastAsia"/>
          <w:sz w:val="32"/>
          <w:szCs w:val="32"/>
        </w:rPr>
        <w:t>46余项，</w:t>
      </w:r>
      <w:r>
        <w:rPr>
          <w:rFonts w:ascii="仿宋" w:eastAsia="仿宋" w:hAnsi="仿宋" w:hint="eastAsia"/>
          <w:sz w:val="32"/>
          <w:szCs w:val="32"/>
        </w:rPr>
        <w:t>内容涉及股权管理、授信业务和贷款”三查”制度，柜面操作流程、自助设备管理、网上银行银开户交易等重点风险领域，</w:t>
      </w:r>
      <w:r>
        <w:rPr>
          <w:rFonts w:ascii="仿宋" w:eastAsia="仿宋" w:hAnsi="仿宋" w:cs="仿宋_GB2312" w:hint="eastAsia"/>
          <w:sz w:val="32"/>
          <w:szCs w:val="32"/>
        </w:rPr>
        <w:t>其中常规</w:t>
      </w:r>
      <w:r>
        <w:rPr>
          <w:rFonts w:ascii="仿宋" w:eastAsia="仿宋" w:hAnsi="仿宋" w:cs="仿宋_GB2312"/>
          <w:sz w:val="32"/>
          <w:szCs w:val="32"/>
        </w:rPr>
        <w:t>稽核检查</w:t>
      </w:r>
      <w:r>
        <w:rPr>
          <w:rFonts w:ascii="仿宋" w:eastAsia="仿宋" w:hAnsi="仿宋" w:cs="仿宋_GB2312" w:hint="eastAsia"/>
          <w:sz w:val="32"/>
          <w:szCs w:val="32"/>
        </w:rPr>
        <w:t>4项</w:t>
      </w:r>
      <w:r>
        <w:rPr>
          <w:rFonts w:ascii="仿宋" w:eastAsia="仿宋" w:hAnsi="仿宋" w:cs="仿宋_GB2312"/>
          <w:sz w:val="32"/>
          <w:szCs w:val="32"/>
        </w:rPr>
        <w:t>，</w:t>
      </w:r>
      <w:r>
        <w:rPr>
          <w:rFonts w:ascii="仿宋" w:eastAsia="仿宋" w:hAnsi="仿宋" w:cs="仿宋_GB2312" w:hint="eastAsia"/>
          <w:sz w:val="32"/>
          <w:szCs w:val="32"/>
        </w:rPr>
        <w:t>突击检查3项，安全检查12项，离任</w:t>
      </w:r>
      <w:r>
        <w:rPr>
          <w:rFonts w:ascii="仿宋" w:eastAsia="仿宋" w:hAnsi="仿宋" w:cs="仿宋_GB2312"/>
          <w:sz w:val="32"/>
          <w:szCs w:val="32"/>
        </w:rPr>
        <w:t>调岗稽核</w:t>
      </w:r>
      <w:r>
        <w:rPr>
          <w:rFonts w:ascii="仿宋" w:eastAsia="仿宋" w:hAnsi="仿宋" w:cs="仿宋_GB2312" w:hint="eastAsia"/>
          <w:sz w:val="32"/>
          <w:szCs w:val="32"/>
        </w:rPr>
        <w:t>20余项</w:t>
      </w:r>
      <w:r>
        <w:rPr>
          <w:rFonts w:ascii="仿宋" w:eastAsia="仿宋" w:hAnsi="仿宋" w:cs="仿宋_GB2312"/>
          <w:sz w:val="32"/>
          <w:szCs w:val="32"/>
        </w:rPr>
        <w:t>，</w:t>
      </w:r>
      <w:r>
        <w:rPr>
          <w:rFonts w:ascii="仿宋" w:eastAsia="仿宋" w:hAnsi="仿宋" w:cs="仿宋_GB2312" w:hint="eastAsia"/>
          <w:sz w:val="32"/>
          <w:szCs w:val="32"/>
        </w:rPr>
        <w:t>专项稽核7项。</w:t>
      </w:r>
      <w:r>
        <w:rPr>
          <w:rFonts w:ascii="仿宋_GB2312" w:eastAsia="仿宋_GB2312" w:hAnsi="仿宋_GB2312" w:hint="eastAsia"/>
          <w:sz w:val="32"/>
          <w:szCs w:val="32"/>
        </w:rPr>
        <w:t>同时将稽核</w:t>
      </w:r>
      <w:r>
        <w:rPr>
          <w:rFonts w:ascii="仿宋_GB2312" w:eastAsia="仿宋_GB2312" w:hAnsi="华文仿宋" w:hint="eastAsia"/>
          <w:sz w:val="32"/>
          <w:szCs w:val="32"/>
        </w:rPr>
        <w:t>结果反馈至董事会、经营层、主管条线部门，从合规管理、执行落实、内部控制等方面全方位整改，力求标本兼治，全面提升案防工作质效。</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1、信贷管理中的授权授信制度执行偏差。由于员工掌握信息不全、专业能力限制，导致操作程序不够严密，对客户情况的变化掌握不够，导致贷款事后控制有待加强。</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lastRenderedPageBreak/>
        <w:t>2、柜面会计业务制度执行不到位。柜面业务人员存在对各项规章制度认识不足、贯彻不力或操作失误等原因导致业务差错出现。</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3、员工行为管理的深度不足，员工异常行为排查的手段、方式及有效性有待进一步加强。</w:t>
      </w:r>
    </w:p>
    <w:p w:rsidR="00FF2A1C" w:rsidRDefault="00236B06">
      <w:pPr>
        <w:pStyle w:val="2"/>
        <w:spacing w:line="600" w:lineRule="exact"/>
        <w:ind w:firstLineChars="200" w:firstLine="602"/>
        <w:jc w:val="both"/>
        <w:rPr>
          <w:rFonts w:ascii="仿宋" w:eastAsia="仿宋" w:hAnsi="仿宋"/>
          <w:color w:val="404040"/>
          <w:sz w:val="30"/>
          <w:szCs w:val="30"/>
        </w:rPr>
      </w:pPr>
      <w:r>
        <w:rPr>
          <w:rStyle w:val="a8"/>
          <w:rFonts w:ascii="仿宋" w:eastAsia="仿宋" w:hAnsi="仿宋" w:cs="Arial" w:hint="eastAsia"/>
          <w:b/>
          <w:bCs/>
          <w:color w:val="000000"/>
          <w:sz w:val="30"/>
          <w:szCs w:val="30"/>
        </w:rPr>
        <w:t>五、声誉风险状况</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声誉风险是指由本行经营、管理及其他行为或外部事件导致利益相关方对本行负面评价的风险。</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（一）董事会、经营管理层对风险的监控能力</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董事会和经营管理层坚决贯彻落实有关法律法规和各项规章制度，落实责任，强化措施，通过监测、识别、评估、预警、报告及处置等程序，实现舆情信息管理，提高了声誉风险预警能力及 化解能力。</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（二）风险管理的政策和程序</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1、管理政策。本行建立健全了声誉风险管理体系，制定了《临猗新田村镇银行声誉风险管理办法》，通过日常声誉风险管理和对声誉事件的妥善处置，实现对声誉风险的有效管控。</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2、管理程序。本行董事会承担全行声誉风险管理的最终责任，经营管理层负责领导全行的声誉风险管理工作，总行风险合规部是全行声誉风险的牵头管理部门，总行各部门对本部门业务职责范围内的声誉风险管理负有直接责任，各网点负责本机构内的声誉风险管理工作。</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lastRenderedPageBreak/>
        <w:t>（三）风险计量、检测和管理信息系统</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本行暂无声誉风险计量、检测和管理信息系统。</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（四）内部控制和全面审计情况</w:t>
      </w:r>
    </w:p>
    <w:p w:rsidR="00FF2A1C" w:rsidRDefault="00236B06">
      <w:pPr>
        <w:pStyle w:val="20"/>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ahoma" w:hint="eastAsia"/>
          <w:color w:val="000000"/>
          <w:sz w:val="30"/>
          <w:szCs w:val="30"/>
        </w:rPr>
        <w:t>本行制定了《声誉风险管理办法》、《舆情风险应急预案》，通过设立专人负责舆情监测工作，确保一旦发现负面舆情，能及时向董事会和经营管理层汇报，并积极进行多方面、多渠道处置，确保第一时间化解声誉风险。本行深入开展了服务收费行为排查、稽核检查、内部审计，规范经营行为；同时，本行充分履行信息披露义务，对于产品与服务的性质、主要风险以及收费标准等的介绍说明全面、真实。报告期内，本行声誉风险基本可控。</w:t>
      </w:r>
    </w:p>
    <w:p w:rsidR="00FF2A1C" w:rsidRDefault="00236B06">
      <w:pPr>
        <w:pStyle w:val="1"/>
        <w:spacing w:before="0" w:beforeAutospacing="0" w:after="0" w:afterAutospacing="0" w:line="600" w:lineRule="exact"/>
        <w:ind w:firstLineChars="200" w:firstLine="602"/>
        <w:jc w:val="center"/>
        <w:rPr>
          <w:rFonts w:ascii="仿宋" w:eastAsia="仿宋" w:hAnsi="仿宋"/>
          <w:color w:val="404040"/>
          <w:sz w:val="30"/>
          <w:szCs w:val="30"/>
        </w:rPr>
      </w:pPr>
      <w:bookmarkStart w:id="47" w:name="_Toc227401540"/>
      <w:bookmarkStart w:id="48" w:name="_Toc481080009"/>
      <w:bookmarkStart w:id="49" w:name="_Toc193883062"/>
      <w:bookmarkEnd w:id="47"/>
      <w:bookmarkEnd w:id="48"/>
      <w:r>
        <w:rPr>
          <w:rStyle w:val="a8"/>
          <w:rFonts w:ascii="仿宋" w:eastAsia="仿宋" w:hAnsi="仿宋" w:hint="eastAsia"/>
          <w:b/>
          <w:bCs/>
          <w:color w:val="000000"/>
          <w:sz w:val="30"/>
          <w:szCs w:val="30"/>
        </w:rPr>
        <w:t>第五章</w:t>
      </w:r>
      <w:r>
        <w:rPr>
          <w:rStyle w:val="a8"/>
          <w:rFonts w:hint="eastAsia"/>
          <w:b/>
          <w:bCs/>
          <w:color w:val="000000"/>
          <w:sz w:val="30"/>
          <w:szCs w:val="30"/>
        </w:rPr>
        <w:t> </w:t>
      </w:r>
      <w:r>
        <w:rPr>
          <w:rStyle w:val="apple-converted-space"/>
          <w:rFonts w:hint="eastAsia"/>
          <w:color w:val="000000"/>
          <w:sz w:val="30"/>
          <w:szCs w:val="30"/>
        </w:rPr>
        <w:t> </w:t>
      </w:r>
      <w:bookmarkEnd w:id="49"/>
      <w:r>
        <w:rPr>
          <w:rStyle w:val="a8"/>
          <w:rFonts w:ascii="仿宋" w:eastAsia="仿宋" w:hAnsi="仿宋" w:hint="eastAsia"/>
          <w:b/>
          <w:bCs/>
          <w:color w:val="000000"/>
          <w:sz w:val="30"/>
          <w:szCs w:val="30"/>
        </w:rPr>
        <w:t>公司治理情况</w:t>
      </w:r>
    </w:p>
    <w:p w:rsidR="00FF2A1C" w:rsidRDefault="00236B06">
      <w:pPr>
        <w:pStyle w:val="2"/>
        <w:spacing w:line="600" w:lineRule="exact"/>
        <w:ind w:firstLineChars="200" w:firstLine="600"/>
        <w:jc w:val="both"/>
        <w:rPr>
          <w:rFonts w:ascii="仿宋" w:eastAsia="仿宋" w:hAnsi="仿宋"/>
          <w:color w:val="404040"/>
          <w:sz w:val="30"/>
          <w:szCs w:val="30"/>
        </w:rPr>
      </w:pPr>
      <w:bookmarkStart w:id="50" w:name="_Toc227401541"/>
      <w:bookmarkStart w:id="51" w:name="_Toc481080010"/>
      <w:bookmarkEnd w:id="50"/>
      <w:r>
        <w:rPr>
          <w:rStyle w:val="a8"/>
          <w:rFonts w:ascii="仿宋" w:eastAsia="仿宋" w:hAnsi="仿宋" w:cs="Arial" w:hint="eastAsia"/>
          <w:color w:val="000000"/>
          <w:sz w:val="30"/>
          <w:szCs w:val="30"/>
        </w:rPr>
        <w:t>一、</w:t>
      </w:r>
      <w:bookmarkEnd w:id="51"/>
      <w:r>
        <w:rPr>
          <w:rStyle w:val="a8"/>
          <w:rFonts w:ascii="仿宋" w:eastAsia="仿宋" w:hAnsi="仿宋" w:cs="Arial" w:hint="eastAsia"/>
          <w:b/>
          <w:bCs/>
          <w:color w:val="000000"/>
          <w:sz w:val="30"/>
          <w:szCs w:val="30"/>
        </w:rPr>
        <w:t>经营决策体系</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本行权力机构是股东代表大会，通过党委会、董事会进行决策、管理，由监事会行使监督职能。行长对董事会负责，执行董事会的各项决议，负责本行的日常经营管理工作。本行实行一级法人体制，对行通过董事会、监事会进行管理和监督。行长受聘于董事会，负责本行日常经营管理。</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报告期内，本行不断完善股东代表大会、董事会、监事会和经营管理层独立运作、有效制衡的公司治理结构，其核心目标是在尊重和保护存款人利益的前提下，追求股东价值。</w:t>
      </w:r>
    </w:p>
    <w:p w:rsidR="00FF2A1C" w:rsidRDefault="00236B06">
      <w:pPr>
        <w:pStyle w:val="2"/>
        <w:spacing w:line="600" w:lineRule="exact"/>
        <w:ind w:firstLineChars="200" w:firstLine="600"/>
        <w:jc w:val="both"/>
        <w:rPr>
          <w:rFonts w:ascii="仿宋" w:eastAsia="仿宋" w:hAnsi="仿宋"/>
          <w:color w:val="404040"/>
          <w:sz w:val="30"/>
          <w:szCs w:val="30"/>
        </w:rPr>
      </w:pPr>
      <w:bookmarkStart w:id="52" w:name="_Toc227401542"/>
      <w:bookmarkStart w:id="53" w:name="_Toc481080011"/>
      <w:bookmarkEnd w:id="52"/>
      <w:r>
        <w:rPr>
          <w:rStyle w:val="a8"/>
          <w:rFonts w:ascii="仿宋" w:eastAsia="仿宋" w:hAnsi="仿宋" w:cs="Arial" w:hint="eastAsia"/>
          <w:color w:val="000000"/>
          <w:sz w:val="30"/>
          <w:szCs w:val="30"/>
        </w:rPr>
        <w:lastRenderedPageBreak/>
        <w:t>二、</w:t>
      </w:r>
      <w:bookmarkEnd w:id="53"/>
      <w:r>
        <w:rPr>
          <w:rStyle w:val="a8"/>
          <w:rFonts w:ascii="仿宋" w:eastAsia="仿宋" w:hAnsi="仿宋" w:cs="Arial" w:hint="eastAsia"/>
          <w:b/>
          <w:bCs/>
          <w:color w:val="000000"/>
          <w:sz w:val="30"/>
          <w:szCs w:val="30"/>
        </w:rPr>
        <w:t>年度内召开股东大会情况</w:t>
      </w:r>
    </w:p>
    <w:p w:rsidR="00FF2A1C" w:rsidRDefault="00236B06">
      <w:pPr>
        <w:pStyle w:val="a3"/>
        <w:spacing w:before="0" w:beforeAutospacing="0" w:after="0" w:afterAutospacing="0" w:line="600" w:lineRule="exact"/>
        <w:ind w:firstLineChars="200" w:firstLine="600"/>
        <w:jc w:val="both"/>
        <w:rPr>
          <w:rFonts w:ascii="仿宋" w:eastAsia="仿宋" w:hAnsi="仿宋"/>
          <w:color w:val="404040"/>
          <w:sz w:val="30"/>
          <w:szCs w:val="30"/>
        </w:rPr>
      </w:pPr>
      <w:bookmarkStart w:id="54" w:name="_Toc193883065"/>
      <w:r>
        <w:rPr>
          <w:rFonts w:ascii="仿宋" w:eastAsia="仿宋" w:hAnsi="仿宋" w:hint="eastAsia"/>
          <w:color w:val="000000"/>
          <w:sz w:val="30"/>
          <w:szCs w:val="30"/>
        </w:rPr>
        <w:t>报告期内，2021年本行共召开了1次股东大会，会议程序符合银保监会和《章程》有关规定。</w:t>
      </w:r>
      <w:bookmarkEnd w:id="54"/>
    </w:p>
    <w:p w:rsidR="00FF2A1C" w:rsidRDefault="00236B06">
      <w:pPr>
        <w:pStyle w:val="a3"/>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hint="eastAsia"/>
          <w:color w:val="000000"/>
          <w:sz w:val="30"/>
          <w:szCs w:val="30"/>
        </w:rPr>
        <w:t>一级法人体制下召开的股东大会：</w:t>
      </w:r>
    </w:p>
    <w:tbl>
      <w:tblPr>
        <w:tblW w:w="8786" w:type="dxa"/>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1611"/>
        <w:gridCol w:w="1363"/>
        <w:gridCol w:w="5812"/>
      </w:tblGrid>
      <w:tr w:rsidR="00FF2A1C">
        <w:trPr>
          <w:jc w:val="center"/>
        </w:trPr>
        <w:tc>
          <w:tcPr>
            <w:tcW w:w="1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sz w:val="30"/>
                <w:szCs w:val="30"/>
              </w:rPr>
            </w:pPr>
            <w:r>
              <w:rPr>
                <w:rStyle w:val="a8"/>
                <w:rFonts w:ascii="仿宋" w:eastAsia="仿宋" w:hAnsi="仿宋" w:cs="Times New Roman" w:hint="eastAsia"/>
                <w:color w:val="000000"/>
                <w:sz w:val="30"/>
                <w:szCs w:val="30"/>
              </w:rPr>
              <w:t>会议名称</w:t>
            </w:r>
          </w:p>
        </w:tc>
        <w:tc>
          <w:tcPr>
            <w:tcW w:w="1363"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100" w:firstLine="301"/>
              <w:rPr>
                <w:rFonts w:ascii="仿宋" w:eastAsia="仿宋" w:hAnsi="仿宋"/>
                <w:color w:val="404040"/>
                <w:sz w:val="30"/>
                <w:szCs w:val="30"/>
              </w:rPr>
            </w:pPr>
            <w:r>
              <w:rPr>
                <w:rStyle w:val="a8"/>
                <w:rFonts w:ascii="仿宋" w:eastAsia="仿宋" w:hAnsi="仿宋" w:cs="Times New Roman" w:hint="eastAsia"/>
                <w:color w:val="000000"/>
                <w:sz w:val="30"/>
                <w:szCs w:val="30"/>
              </w:rPr>
              <w:t>时间</w:t>
            </w:r>
          </w:p>
        </w:tc>
        <w:tc>
          <w:tcPr>
            <w:tcW w:w="581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602"/>
              <w:jc w:val="center"/>
              <w:rPr>
                <w:rFonts w:ascii="仿宋" w:eastAsia="仿宋" w:hAnsi="仿宋"/>
                <w:color w:val="404040"/>
                <w:sz w:val="30"/>
                <w:szCs w:val="30"/>
              </w:rPr>
            </w:pPr>
            <w:r>
              <w:rPr>
                <w:rStyle w:val="a8"/>
                <w:rFonts w:ascii="仿宋" w:eastAsia="仿宋" w:hAnsi="仿宋" w:cs="Times New Roman" w:hint="eastAsia"/>
                <w:color w:val="000000"/>
                <w:sz w:val="30"/>
                <w:szCs w:val="30"/>
              </w:rPr>
              <w:t>工作情况</w:t>
            </w:r>
          </w:p>
        </w:tc>
      </w:tr>
      <w:tr w:rsidR="00FF2A1C">
        <w:trPr>
          <w:trHeight w:val="631"/>
          <w:jc w:val="center"/>
        </w:trPr>
        <w:tc>
          <w:tcPr>
            <w:tcW w:w="16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2021年第一次股东大会</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hint="eastAsia"/>
                <w:color w:val="404040"/>
              </w:rPr>
              <w:t>2021.5.11</w:t>
            </w:r>
          </w:p>
        </w:tc>
        <w:tc>
          <w:tcPr>
            <w:tcW w:w="58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both"/>
              <w:rPr>
                <w:rFonts w:ascii="仿宋" w:eastAsia="仿宋" w:hAnsi="仿宋"/>
                <w:color w:val="404040"/>
              </w:rPr>
            </w:pPr>
            <w:r>
              <w:rPr>
                <w:rFonts w:ascii="仿宋" w:eastAsia="仿宋" w:hAnsi="仿宋" w:cs="Times New Roman" w:hint="eastAsia"/>
                <w:color w:val="FF0000"/>
              </w:rPr>
              <w:t>审议通过《临猗县新田村镇银行股份有限公司董事会2020年度工作报告的议案》；《临猗县新田村镇银行股份有限公司监事会2020年度工作报告的议案》；《临猗县新田村镇银行股份有限公司2020年度财务审计报告》《临猗县新田村镇银行股份有限公司2020年信息披露的议案》；《临猗县新田村镇银行股份有限公司2020年度财务决算报告及2021年度财务预算方案（草案）的议案》；《临猗新田村镇银行2020年股东分红的议案》；《临猗县新田村镇银行股份有限公司股东程占平股权转让的议案》；《第三届董事会拟任候选人的议案》；《第三届监事会拟任候选人的议案》；</w:t>
            </w:r>
          </w:p>
        </w:tc>
      </w:tr>
    </w:tbl>
    <w:p w:rsidR="00FF2A1C" w:rsidRDefault="00FF2A1C">
      <w:pPr>
        <w:pStyle w:val="2"/>
        <w:spacing w:line="600" w:lineRule="exact"/>
        <w:ind w:firstLineChars="200" w:firstLine="600"/>
        <w:jc w:val="both"/>
        <w:rPr>
          <w:rStyle w:val="a8"/>
          <w:rFonts w:ascii="仿宋" w:eastAsia="仿宋" w:hAnsi="仿宋" w:cs="Arial"/>
          <w:color w:val="000000"/>
          <w:sz w:val="30"/>
          <w:szCs w:val="30"/>
        </w:rPr>
      </w:pPr>
      <w:bookmarkStart w:id="55" w:name="_Toc227401547"/>
      <w:bookmarkStart w:id="56" w:name="_Toc481080012"/>
      <w:bookmarkEnd w:id="55"/>
    </w:p>
    <w:p w:rsidR="00FF2A1C" w:rsidRDefault="00236B06">
      <w:pPr>
        <w:pStyle w:val="2"/>
        <w:spacing w:line="600" w:lineRule="exact"/>
        <w:ind w:firstLineChars="200" w:firstLine="600"/>
        <w:jc w:val="both"/>
        <w:rPr>
          <w:rFonts w:ascii="仿宋" w:eastAsia="仿宋" w:hAnsi="仿宋"/>
          <w:color w:val="404040"/>
          <w:sz w:val="30"/>
          <w:szCs w:val="30"/>
        </w:rPr>
      </w:pPr>
      <w:r>
        <w:rPr>
          <w:rStyle w:val="a8"/>
          <w:rFonts w:ascii="仿宋" w:eastAsia="仿宋" w:hAnsi="仿宋" w:cs="Arial" w:hint="eastAsia"/>
          <w:color w:val="000000"/>
          <w:sz w:val="30"/>
          <w:szCs w:val="30"/>
        </w:rPr>
        <w:t>三、</w:t>
      </w:r>
      <w:bookmarkEnd w:id="56"/>
      <w:r>
        <w:rPr>
          <w:rStyle w:val="a8"/>
          <w:rFonts w:ascii="仿宋" w:eastAsia="仿宋" w:hAnsi="仿宋" w:cs="Arial" w:hint="eastAsia"/>
          <w:b/>
          <w:bCs/>
          <w:color w:val="000000"/>
          <w:sz w:val="30"/>
          <w:szCs w:val="30"/>
        </w:rPr>
        <w:t>董事会的构成及其工作情况</w:t>
      </w:r>
    </w:p>
    <w:p w:rsidR="00FF2A1C" w:rsidRDefault="00236B06">
      <w:pPr>
        <w:pStyle w:val="a7"/>
        <w:spacing w:before="0" w:beforeAutospacing="0" w:after="0" w:afterAutospacing="0" w:line="600" w:lineRule="exact"/>
        <w:ind w:firstLineChars="200" w:firstLine="600"/>
        <w:jc w:val="both"/>
        <w:rPr>
          <w:rFonts w:ascii="仿宋" w:eastAsia="仿宋" w:hAnsi="仿宋" w:cs="Times New Roman"/>
          <w:color w:val="000000"/>
          <w:sz w:val="30"/>
          <w:szCs w:val="30"/>
        </w:rPr>
      </w:pPr>
      <w:bookmarkStart w:id="57" w:name="_Toc193883071"/>
      <w:bookmarkStart w:id="58" w:name="_Toc227401548"/>
      <w:bookmarkEnd w:id="57"/>
      <w:r>
        <w:rPr>
          <w:rFonts w:ascii="仿宋" w:eastAsia="仿宋" w:hAnsi="仿宋" w:cs="Times New Roman" w:hint="eastAsia"/>
          <w:color w:val="000000"/>
          <w:sz w:val="30"/>
          <w:szCs w:val="30"/>
        </w:rPr>
        <w:t>（一）董事会的构成情况</w:t>
      </w:r>
      <w:bookmarkEnd w:id="58"/>
    </w:p>
    <w:p w:rsidR="00FF2A1C" w:rsidRDefault="00236B06">
      <w:pPr>
        <w:pStyle w:val="a7"/>
        <w:spacing w:before="0" w:beforeAutospacing="0" w:after="0" w:afterAutospacing="0" w:line="600" w:lineRule="exact"/>
        <w:ind w:firstLineChars="200" w:firstLine="60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lastRenderedPageBreak/>
        <w:t>本行严格按照《章程》规定的董事任职资格和选聘程序选举董事，董事会的人数和人员构成符合法律法规的要求。报告期末，本行董事会由5名董事组成。</w:t>
      </w:r>
    </w:p>
    <w:tbl>
      <w:tblPr>
        <w:tblW w:w="7864" w:type="dxa"/>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955"/>
        <w:gridCol w:w="750"/>
        <w:gridCol w:w="855"/>
        <w:gridCol w:w="2490"/>
        <w:gridCol w:w="1230"/>
        <w:gridCol w:w="1584"/>
      </w:tblGrid>
      <w:tr w:rsidR="00FF2A1C">
        <w:trPr>
          <w:trHeight w:val="130"/>
          <w:jc w:val="center"/>
        </w:trPr>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姓名</w:t>
            </w:r>
          </w:p>
        </w:tc>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性别</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学历</w:t>
            </w: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社会职务</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职务</w:t>
            </w:r>
          </w:p>
        </w:tc>
        <w:tc>
          <w:tcPr>
            <w:tcW w:w="1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代表的股权类别</w:t>
            </w:r>
          </w:p>
        </w:tc>
      </w:tr>
      <w:tr w:rsidR="00FF2A1C">
        <w:trPr>
          <w:trHeight w:val="448"/>
          <w:jc w:val="center"/>
        </w:trPr>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范晓云</w:t>
            </w:r>
          </w:p>
        </w:tc>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女</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本科</w:t>
            </w: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临猗县新田村镇银行股份有限公司董事长</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董事长</w:t>
            </w:r>
          </w:p>
        </w:tc>
        <w:tc>
          <w:tcPr>
            <w:tcW w:w="1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本行</w:t>
            </w:r>
          </w:p>
        </w:tc>
      </w:tr>
      <w:tr w:rsidR="00FF2A1C">
        <w:trPr>
          <w:trHeight w:val="1833"/>
          <w:jc w:val="center"/>
        </w:trPr>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薛胜利</w:t>
            </w:r>
          </w:p>
        </w:tc>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男</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本科</w:t>
            </w: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山西昌泰动物有限责任公司总经理</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董事</w:t>
            </w:r>
          </w:p>
        </w:tc>
        <w:tc>
          <w:tcPr>
            <w:tcW w:w="1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自然人股东</w:t>
            </w:r>
          </w:p>
        </w:tc>
      </w:tr>
      <w:tr w:rsidR="00FF2A1C">
        <w:trPr>
          <w:trHeight w:val="307"/>
          <w:jc w:val="center"/>
        </w:trPr>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杨长锁</w:t>
            </w:r>
          </w:p>
        </w:tc>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男</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大专</w:t>
            </w: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耽子长锁预制构件厂总经理</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董事</w:t>
            </w:r>
          </w:p>
        </w:tc>
        <w:tc>
          <w:tcPr>
            <w:tcW w:w="1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自然人股东</w:t>
            </w:r>
          </w:p>
        </w:tc>
      </w:tr>
      <w:tr w:rsidR="00FF2A1C">
        <w:trPr>
          <w:trHeight w:val="307"/>
          <w:jc w:val="center"/>
        </w:trPr>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袁淑兰</w:t>
            </w:r>
          </w:p>
        </w:tc>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997F78">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女</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本科</w:t>
            </w: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hint="eastAsia"/>
                <w:color w:val="404040"/>
              </w:rPr>
              <w:t>个体</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董事</w:t>
            </w:r>
          </w:p>
        </w:tc>
        <w:tc>
          <w:tcPr>
            <w:tcW w:w="1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自然人股东</w:t>
            </w:r>
          </w:p>
        </w:tc>
      </w:tr>
      <w:tr w:rsidR="00FF2A1C">
        <w:trPr>
          <w:trHeight w:val="307"/>
          <w:jc w:val="center"/>
        </w:trPr>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刘彩红</w:t>
            </w:r>
          </w:p>
        </w:tc>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女</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本科</w:t>
            </w: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rPr>
            </w:pPr>
            <w:r>
              <w:rPr>
                <w:rFonts w:ascii="仿宋" w:eastAsia="仿宋" w:hAnsi="仿宋" w:hint="eastAsia"/>
              </w:rPr>
              <w:t>侯马市尚雅贸易有限公司</w:t>
            </w:r>
            <w:r>
              <w:rPr>
                <w:rFonts w:ascii="仿宋" w:eastAsia="仿宋" w:hAnsi="仿宋" w:hint="eastAsia"/>
                <w:color w:val="404040"/>
              </w:rPr>
              <w:t xml:space="preserve"> 财务经理</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董事</w:t>
            </w:r>
          </w:p>
        </w:tc>
        <w:tc>
          <w:tcPr>
            <w:tcW w:w="1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自然人股东</w:t>
            </w:r>
          </w:p>
        </w:tc>
      </w:tr>
    </w:tbl>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bookmarkStart w:id="59" w:name="_（二）理事会工作情况"/>
      <w:bookmarkStart w:id="60" w:name="_Toc227401549"/>
      <w:bookmarkStart w:id="61" w:name="_Toc193883072"/>
      <w:bookmarkEnd w:id="59"/>
      <w:bookmarkEnd w:id="60"/>
      <w:bookmarkEnd w:id="61"/>
      <w:r>
        <w:rPr>
          <w:rFonts w:ascii="仿宋" w:eastAsia="仿宋" w:hAnsi="仿宋" w:cs="Times New Roman" w:hint="eastAsia"/>
          <w:color w:val="000000"/>
          <w:sz w:val="30"/>
          <w:szCs w:val="30"/>
        </w:rPr>
        <w:t>（二）董事会工作情况</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2021年本行董事会共召开了4次董事会，会议程序符合银监会和《章程》有关规定。</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一级法人体制下召开的董事会：</w:t>
      </w:r>
    </w:p>
    <w:tbl>
      <w:tblPr>
        <w:tblW w:w="9192" w:type="dxa"/>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1304"/>
        <w:gridCol w:w="1368"/>
        <w:gridCol w:w="6520"/>
      </w:tblGrid>
      <w:tr w:rsidR="00FF2A1C">
        <w:trPr>
          <w:trHeight w:val="242"/>
          <w:jc w:val="center"/>
        </w:trPr>
        <w:tc>
          <w:tcPr>
            <w:tcW w:w="130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rPr>
            </w:pPr>
            <w:r>
              <w:rPr>
                <w:rStyle w:val="a8"/>
                <w:rFonts w:ascii="仿宋" w:eastAsia="仿宋" w:hAnsi="仿宋" w:cs="Times New Roman" w:hint="eastAsia"/>
                <w:color w:val="000000"/>
              </w:rPr>
              <w:t>会议名称</w:t>
            </w:r>
          </w:p>
        </w:tc>
        <w:tc>
          <w:tcPr>
            <w:tcW w:w="1368" w:type="dxa"/>
            <w:tcBorders>
              <w:top w:val="single" w:sz="8" w:space="0" w:color="000000"/>
              <w:left w:val="single" w:sz="8" w:space="0" w:color="auto"/>
              <w:bottom w:val="single" w:sz="4" w:space="0" w:color="auto"/>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rPr>
            </w:pPr>
            <w:r>
              <w:rPr>
                <w:rStyle w:val="a8"/>
                <w:rFonts w:ascii="仿宋" w:eastAsia="仿宋" w:hAnsi="仿宋" w:cs="Times New Roman" w:hint="eastAsia"/>
                <w:color w:val="000000"/>
              </w:rPr>
              <w:t>时间</w:t>
            </w:r>
          </w:p>
        </w:tc>
        <w:tc>
          <w:tcPr>
            <w:tcW w:w="6520" w:type="dxa"/>
            <w:tcBorders>
              <w:top w:val="single" w:sz="8" w:space="0" w:color="000000"/>
              <w:left w:val="single" w:sz="8" w:space="0" w:color="auto"/>
              <w:bottom w:val="single" w:sz="4" w:space="0" w:color="auto"/>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2"/>
              <w:jc w:val="center"/>
              <w:rPr>
                <w:rFonts w:ascii="仿宋" w:eastAsia="仿宋" w:hAnsi="仿宋"/>
                <w:color w:val="404040"/>
              </w:rPr>
            </w:pPr>
            <w:r>
              <w:rPr>
                <w:rStyle w:val="a8"/>
                <w:rFonts w:ascii="仿宋" w:eastAsia="仿宋" w:hAnsi="仿宋" w:cs="Times New Roman" w:hint="eastAsia"/>
                <w:color w:val="000000"/>
              </w:rPr>
              <w:t>工作情况</w:t>
            </w:r>
          </w:p>
        </w:tc>
      </w:tr>
      <w:tr w:rsidR="00FF2A1C">
        <w:trPr>
          <w:trHeight w:val="334"/>
          <w:jc w:val="center"/>
        </w:trPr>
        <w:tc>
          <w:tcPr>
            <w:tcW w:w="130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第二届第九次董事会</w:t>
            </w:r>
          </w:p>
        </w:tc>
        <w:tc>
          <w:tcPr>
            <w:tcW w:w="136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2021.5.11</w:t>
            </w:r>
          </w:p>
        </w:tc>
        <w:tc>
          <w:tcPr>
            <w:tcW w:w="652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rPr>
                <w:rFonts w:ascii="仿宋" w:eastAsia="仿宋" w:hAnsi="仿宋"/>
                <w:color w:val="404040"/>
              </w:rPr>
            </w:pPr>
            <w:r>
              <w:rPr>
                <w:rFonts w:ascii="仿宋" w:eastAsia="仿宋" w:hAnsi="仿宋" w:cs="Times New Roman" w:hint="eastAsia"/>
                <w:color w:val="FF0000"/>
              </w:rPr>
              <w:t>审议通过了《临猗县新田村镇银行股份有限公司2020年度及2021年一季度经营工作报告的议案》《临猗县新田村镇银行股份有限公司2020年度财务审计报告》《临猗县新田村镇银行股份有限公司2020年信息披露的议案》；《临猗县新田村镇银行股份有限公司2020年度财务决算报告及</w:t>
            </w:r>
            <w:r>
              <w:rPr>
                <w:rFonts w:ascii="仿宋" w:eastAsia="仿宋" w:hAnsi="仿宋" w:cs="Times New Roman" w:hint="eastAsia"/>
                <w:color w:val="FF0000"/>
              </w:rPr>
              <w:lastRenderedPageBreak/>
              <w:t>2021年度财务预算方案的议案》；《临猗新田村镇银行2020年股东分红的议案》；《关于设立临猗新田村镇银行北辛支行的议案 》《临猗县新田村镇银行股份有限公司召开2021年股东大会第一次会议的议案》</w:t>
            </w:r>
          </w:p>
        </w:tc>
      </w:tr>
      <w:tr w:rsidR="00FF2A1C">
        <w:trPr>
          <w:trHeight w:val="985"/>
          <w:jc w:val="center"/>
        </w:trPr>
        <w:tc>
          <w:tcPr>
            <w:tcW w:w="13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s="Times New Roman"/>
                <w:color w:val="000000"/>
              </w:rPr>
            </w:pPr>
            <w:r>
              <w:rPr>
                <w:rFonts w:ascii="仿宋" w:eastAsia="仿宋" w:hAnsi="仿宋" w:cs="Times New Roman" w:hint="eastAsia"/>
                <w:color w:val="FF0000"/>
              </w:rPr>
              <w:lastRenderedPageBreak/>
              <w:t>第三届第一次董事会</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s="Times New Roman"/>
                <w:color w:val="000000"/>
              </w:rPr>
            </w:pPr>
            <w:r>
              <w:rPr>
                <w:rFonts w:ascii="仿宋" w:eastAsia="仿宋" w:hAnsi="仿宋" w:cs="Times New Roman" w:hint="eastAsia"/>
                <w:color w:val="FF0000"/>
              </w:rPr>
              <w:t>2020.5.11</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rPr>
                <w:rFonts w:ascii="仿宋" w:eastAsia="仿宋" w:hAnsi="仿宋" w:cs="Times New Roman"/>
                <w:color w:val="000000"/>
              </w:rPr>
            </w:pPr>
            <w:r>
              <w:rPr>
                <w:rFonts w:ascii="仿宋" w:eastAsia="仿宋" w:hAnsi="仿宋" w:cs="Times New Roman" w:hint="eastAsia"/>
                <w:color w:val="FF0000"/>
              </w:rPr>
              <w:t>审议通过了；《关于提名范晓云同志拟担任临猗县新田村镇银行股份有限公司第三届董事会董事长的议案》；《关于提名贾孟辉同志拟担任临猗县新田村镇银行股份有限公司行长的议案》；《关于提名萧志鹏同志拟担任临猗县新田村镇银行股份有限公司副行长的议案》；《关于免去李少杰同志风险合规部经理职务的议案》；《关于拟定李少杰同志担任临猗县新田村镇银行股份有限公司董事会秘书的议案》；《关于拟定乔舒梦同志担任临猗县新田村镇银行股份有限公司行长助理的议案》；《关于拟定侯鋆同志担任临猗县新田村镇银行股份有限公司风险合规部经理的议案》；《关于临猗新田村镇银行董事会秘书及行长助理薪酬计发的议案》</w:t>
            </w:r>
          </w:p>
        </w:tc>
      </w:tr>
      <w:tr w:rsidR="00FF2A1C">
        <w:trPr>
          <w:trHeight w:val="986"/>
          <w:jc w:val="center"/>
        </w:trPr>
        <w:tc>
          <w:tcPr>
            <w:tcW w:w="13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s="Times New Roman"/>
                <w:color w:val="000000"/>
              </w:rPr>
            </w:pPr>
            <w:r>
              <w:rPr>
                <w:rFonts w:ascii="仿宋" w:eastAsia="仿宋" w:hAnsi="仿宋" w:cs="Times New Roman" w:hint="eastAsia"/>
                <w:color w:val="FF0000"/>
              </w:rPr>
              <w:t>第三届第二次董事会</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s="Times New Roman"/>
                <w:color w:val="000000"/>
              </w:rPr>
            </w:pPr>
            <w:r>
              <w:rPr>
                <w:rFonts w:ascii="仿宋" w:eastAsia="仿宋" w:hAnsi="仿宋" w:cs="Times New Roman" w:hint="eastAsia"/>
                <w:color w:val="FF0000"/>
              </w:rPr>
              <w:t>2021.11.4</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rPr>
                <w:rFonts w:ascii="仿宋" w:eastAsia="仿宋" w:hAnsi="仿宋" w:cs="Times New Roman"/>
                <w:color w:val="000000"/>
              </w:rPr>
            </w:pPr>
            <w:r>
              <w:rPr>
                <w:rFonts w:ascii="仿宋" w:eastAsia="仿宋" w:hAnsi="仿宋" w:cs="Times New Roman" w:hint="eastAsia"/>
                <w:color w:val="FF0000"/>
              </w:rPr>
              <w:t>审议通过了《临猗县新田村镇银行股份有限公司2021年前三季度业务情况报告的议案》《关于临猗新田村镇银行董事会下设的薪酬委员会、风险管理委员会、提名委员会、关联交易委员会成员变更的议案》；《关于临猗新田村镇银行董事会下设的消费者权益保护委员会委员变更的议案》；《关于制定临猗新田村镇银行洗钱和恐怖融资风险自评估管理办法的议案》；《关于制定临猗新田村镇银行绿色金融实施方案的议案》；</w:t>
            </w:r>
          </w:p>
        </w:tc>
      </w:tr>
      <w:tr w:rsidR="00FF2A1C">
        <w:trPr>
          <w:jc w:val="center"/>
        </w:trPr>
        <w:tc>
          <w:tcPr>
            <w:tcW w:w="13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第三届第三次董事会</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FF0000"/>
              </w:rPr>
              <w:t>2021.11.4</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rPr>
                <w:rFonts w:ascii="仿宋" w:eastAsia="仿宋" w:hAnsi="仿宋"/>
                <w:color w:val="404040"/>
              </w:rPr>
            </w:pPr>
            <w:r>
              <w:rPr>
                <w:rFonts w:ascii="仿宋" w:eastAsia="仿宋" w:hAnsi="仿宋" w:cs="Times New Roman" w:hint="eastAsia"/>
                <w:color w:val="FF0000"/>
              </w:rPr>
              <w:t>审议通过了《关于拟定王博超同志担任临猗县新田村镇银行股份有限公司计划财务部负责人的议案》、《关于临猗县新田村镇银行股份有限公司计划财务部、风险合规部、营业部经理薪酬计发的议案》；《关于临猗县新田村镇银行股份有限公司奖励基金计提的议案》；《关于临猗县新田村镇银行股份有限公司购置土地的议案》；《关于临猗县新田村镇银行股份有限公司员工最低工资基数调整的议案》</w:t>
            </w:r>
          </w:p>
        </w:tc>
      </w:tr>
    </w:tbl>
    <w:p w:rsidR="00FF2A1C" w:rsidRDefault="00236B06">
      <w:pPr>
        <w:pStyle w:val="2"/>
        <w:spacing w:line="600" w:lineRule="exact"/>
        <w:ind w:firstLineChars="200" w:firstLine="602"/>
        <w:jc w:val="both"/>
        <w:rPr>
          <w:rFonts w:ascii="仿宋" w:eastAsia="仿宋" w:hAnsi="仿宋"/>
          <w:color w:val="404040"/>
          <w:sz w:val="30"/>
          <w:szCs w:val="30"/>
        </w:rPr>
      </w:pPr>
      <w:bookmarkStart w:id="62" w:name="_Toc227401550"/>
      <w:bookmarkStart w:id="63" w:name="_Toc193883077"/>
      <w:bookmarkStart w:id="64" w:name="_Toc481080013"/>
      <w:bookmarkEnd w:id="62"/>
      <w:bookmarkEnd w:id="63"/>
      <w:bookmarkEnd w:id="64"/>
      <w:r>
        <w:rPr>
          <w:rStyle w:val="a8"/>
          <w:rFonts w:ascii="仿宋" w:eastAsia="仿宋" w:hAnsi="仿宋" w:cs="Arial" w:hint="eastAsia"/>
          <w:b/>
          <w:bCs/>
          <w:color w:val="000000"/>
          <w:sz w:val="30"/>
          <w:szCs w:val="30"/>
        </w:rPr>
        <w:t>四、监事会的构成及其工作情况</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（一）监事会的构成情况</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本行监事的任职资格和选聘程序、监事会的人数和人员构成均符合《章程》的规定要求。报告期末，本行监事会由3名监事组成。</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hint="eastAsia"/>
          <w:color w:val="404040"/>
          <w:sz w:val="30"/>
          <w:szCs w:val="30"/>
        </w:rPr>
        <w:t> </w:t>
      </w:r>
    </w:p>
    <w:tbl>
      <w:tblPr>
        <w:tblW w:w="7654"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1135"/>
        <w:gridCol w:w="810"/>
        <w:gridCol w:w="885"/>
        <w:gridCol w:w="4824"/>
      </w:tblGrid>
      <w:tr w:rsidR="00FF2A1C">
        <w:trPr>
          <w:trHeight w:val="379"/>
          <w:jc w:val="center"/>
        </w:trPr>
        <w:tc>
          <w:tcPr>
            <w:tcW w:w="1135" w:type="dxa"/>
            <w:tcBorders>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lastRenderedPageBreak/>
              <w:t>姓名</w:t>
            </w:r>
          </w:p>
        </w:tc>
        <w:tc>
          <w:tcPr>
            <w:tcW w:w="810" w:type="dxa"/>
            <w:tcBorders>
              <w:left w:val="single" w:sz="4" w:space="0" w:color="auto"/>
              <w:bottom w:val="single" w:sz="4" w:space="0" w:color="auto"/>
              <w:right w:val="single" w:sz="8" w:space="0" w:color="DDDDDD"/>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性别</w:t>
            </w:r>
          </w:p>
        </w:tc>
        <w:tc>
          <w:tcPr>
            <w:tcW w:w="885" w:type="dxa"/>
            <w:tcBorders>
              <w:left w:val="single" w:sz="8"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学历</w:t>
            </w:r>
          </w:p>
        </w:tc>
        <w:tc>
          <w:tcPr>
            <w:tcW w:w="4824" w:type="dxa"/>
            <w:tcBorders>
              <w:left w:val="single" w:sz="4" w:space="0" w:color="auto"/>
              <w:bottom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2"/>
              <w:jc w:val="center"/>
              <w:rPr>
                <w:rFonts w:ascii="仿宋" w:eastAsia="仿宋" w:hAnsi="仿宋"/>
                <w:color w:val="404040"/>
              </w:rPr>
            </w:pPr>
            <w:r>
              <w:rPr>
                <w:rStyle w:val="a8"/>
                <w:rFonts w:ascii="仿宋" w:eastAsia="仿宋" w:hAnsi="仿宋" w:cs="Times New Roman" w:hint="eastAsia"/>
                <w:color w:val="000000"/>
              </w:rPr>
              <w:t>工作单位及职务</w:t>
            </w:r>
          </w:p>
        </w:tc>
      </w:tr>
      <w:tr w:rsidR="00FF2A1C">
        <w:trPr>
          <w:trHeight w:val="289"/>
          <w:jc w:val="center"/>
        </w:trPr>
        <w:tc>
          <w:tcPr>
            <w:tcW w:w="1135"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尚文娟</w:t>
            </w:r>
          </w:p>
        </w:tc>
        <w:tc>
          <w:tcPr>
            <w:tcW w:w="81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女</w:t>
            </w:r>
          </w:p>
        </w:tc>
        <w:tc>
          <w:tcPr>
            <w:tcW w:w="88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本科</w:t>
            </w:r>
          </w:p>
        </w:tc>
        <w:tc>
          <w:tcPr>
            <w:tcW w:w="4824"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临猗县新田银行股份有限公司监事长</w:t>
            </w:r>
          </w:p>
        </w:tc>
      </w:tr>
      <w:tr w:rsidR="00FF2A1C">
        <w:trPr>
          <w:trHeight w:val="251"/>
          <w:jc w:val="center"/>
        </w:trPr>
        <w:tc>
          <w:tcPr>
            <w:tcW w:w="1135"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王稠虎</w:t>
            </w:r>
          </w:p>
        </w:tc>
        <w:tc>
          <w:tcPr>
            <w:tcW w:w="81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男</w:t>
            </w:r>
          </w:p>
        </w:tc>
        <w:tc>
          <w:tcPr>
            <w:tcW w:w="8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rPr>
            </w:pPr>
            <w:r>
              <w:rPr>
                <w:rFonts w:ascii="仿宋" w:eastAsia="仿宋" w:hAnsi="仿宋" w:hint="eastAsia"/>
                <w:color w:val="404040"/>
              </w:rPr>
              <w:t>专科</w:t>
            </w:r>
          </w:p>
        </w:tc>
        <w:tc>
          <w:tcPr>
            <w:tcW w:w="4824" w:type="dxa"/>
            <w:tcBorders>
              <w:top w:val="single" w:sz="4" w:space="0" w:color="auto"/>
              <w:left w:val="nil"/>
              <w:bottom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rPr>
            </w:pPr>
            <w:r>
              <w:rPr>
                <w:rFonts w:ascii="仿宋" w:eastAsia="仿宋" w:hAnsi="仿宋"/>
                <w:color w:val="404040"/>
              </w:rPr>
              <w:t>临猗县凯睿塑业有限公司总经理</w:t>
            </w:r>
          </w:p>
        </w:tc>
      </w:tr>
      <w:tr w:rsidR="00FF2A1C">
        <w:trPr>
          <w:trHeight w:val="415"/>
          <w:jc w:val="center"/>
        </w:trPr>
        <w:tc>
          <w:tcPr>
            <w:tcW w:w="1135" w:type="dxa"/>
            <w:tcBorders>
              <w:top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段丽萍</w:t>
            </w:r>
          </w:p>
        </w:tc>
        <w:tc>
          <w:tcPr>
            <w:tcW w:w="810" w:type="dxa"/>
            <w:tcBorders>
              <w:top w:val="single" w:sz="4" w:space="0" w:color="auto"/>
              <w:left w:val="single" w:sz="4" w:space="0" w:color="auto"/>
              <w:right w:val="single" w:sz="8"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女</w:t>
            </w:r>
          </w:p>
        </w:tc>
        <w:tc>
          <w:tcPr>
            <w:tcW w:w="885" w:type="dxa"/>
            <w:tcBorders>
              <w:top w:val="single" w:sz="4" w:space="0" w:color="auto"/>
              <w:left w:val="nil"/>
              <w:right w:val="single" w:sz="8"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olor w:val="404040"/>
              </w:rPr>
              <w:t>专科</w:t>
            </w:r>
          </w:p>
        </w:tc>
        <w:tc>
          <w:tcPr>
            <w:tcW w:w="4824" w:type="dxa"/>
            <w:tcBorders>
              <w:top w:val="single" w:sz="4" w:space="0" w:color="auto"/>
              <w:left w:val="nil"/>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olor w:val="404040"/>
              </w:rPr>
              <w:t>飞达鑫房地产开发公司董事</w:t>
            </w:r>
          </w:p>
        </w:tc>
      </w:tr>
    </w:tbl>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hint="eastAsia"/>
          <w:color w:val="404040"/>
          <w:sz w:val="30"/>
          <w:szCs w:val="30"/>
        </w:rPr>
        <w:t> </w:t>
      </w:r>
      <w:r>
        <w:rPr>
          <w:rFonts w:ascii="仿宋" w:eastAsia="仿宋" w:hAnsi="仿宋" w:cs="Times New Roman" w:hint="eastAsia"/>
          <w:color w:val="000000"/>
          <w:sz w:val="30"/>
          <w:szCs w:val="30"/>
        </w:rPr>
        <w:t>（二）监事会工作情况</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 xml:space="preserve">报告期内，本行共召开了4次监事会会议，会议程序符合银监会和《章程》的有关规定。 </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一级法人体制下召开的监事会：</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hint="eastAsia"/>
          <w:color w:val="404040"/>
          <w:sz w:val="30"/>
          <w:szCs w:val="30"/>
        </w:rPr>
        <w:t> </w:t>
      </w:r>
    </w:p>
    <w:tbl>
      <w:tblPr>
        <w:tblW w:w="9506" w:type="dxa"/>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1190"/>
        <w:gridCol w:w="1111"/>
        <w:gridCol w:w="7205"/>
      </w:tblGrid>
      <w:tr w:rsidR="00FF2A1C">
        <w:trPr>
          <w:jc w:val="center"/>
        </w:trPr>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会议名称</w:t>
            </w:r>
          </w:p>
        </w:tc>
        <w:tc>
          <w:tcPr>
            <w:tcW w:w="111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时间</w:t>
            </w:r>
          </w:p>
        </w:tc>
        <w:tc>
          <w:tcPr>
            <w:tcW w:w="7205"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2"/>
              <w:jc w:val="center"/>
              <w:rPr>
                <w:rFonts w:ascii="仿宋" w:eastAsia="仿宋" w:hAnsi="仿宋"/>
                <w:color w:val="404040"/>
              </w:rPr>
            </w:pPr>
            <w:r>
              <w:rPr>
                <w:rStyle w:val="a8"/>
                <w:rFonts w:ascii="仿宋" w:eastAsia="仿宋" w:hAnsi="仿宋" w:cs="Times New Roman" w:hint="eastAsia"/>
                <w:color w:val="000000"/>
              </w:rPr>
              <w:t>工作情况</w:t>
            </w:r>
          </w:p>
        </w:tc>
      </w:tr>
      <w:tr w:rsidR="00FF2A1C">
        <w:trPr>
          <w:trHeight w:val="801"/>
          <w:jc w:val="center"/>
        </w:trPr>
        <w:tc>
          <w:tcPr>
            <w:tcW w:w="1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000000"/>
              </w:rPr>
              <w:t>第二届第九次监事会</w:t>
            </w:r>
          </w:p>
        </w:tc>
        <w:tc>
          <w:tcPr>
            <w:tcW w:w="111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000000"/>
              </w:rPr>
              <w:t>2021.5.11</w:t>
            </w:r>
          </w:p>
        </w:tc>
        <w:tc>
          <w:tcPr>
            <w:tcW w:w="72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rPr>
                <w:rFonts w:ascii="仿宋" w:eastAsia="仿宋" w:hAnsi="仿宋"/>
                <w:color w:val="FF0000"/>
              </w:rPr>
            </w:pPr>
            <w:r>
              <w:rPr>
                <w:rFonts w:ascii="仿宋" w:eastAsia="仿宋" w:hAnsi="仿宋" w:cs="Times New Roman" w:hint="eastAsia"/>
                <w:color w:val="FF0000"/>
              </w:rPr>
              <w:t>审议通过了《临猗县新田村镇银行股份有限公司2020年案防安保工作报告》；《临猗县新田村镇银行股份有限公司2020年财务审计报告》；《临猗县新田村镇银行股份有限公司2020年信息披露报告》；《临猗县新田村镇银行股份有限公司2020年财务决算报告及2021年财务预算方案（草案）》；《临猗县新田村镇银行股份有限公司2020年股东分红的议案》；《关于设立临猗新田村镇银行北辛支行的议案》；《关于临猗县新田村镇银行股份有限公司召开2021年股东大会第一次会议的议案》</w:t>
            </w:r>
          </w:p>
        </w:tc>
      </w:tr>
      <w:tr w:rsidR="00FF2A1C">
        <w:trPr>
          <w:trHeight w:val="500"/>
          <w:jc w:val="center"/>
        </w:trPr>
        <w:tc>
          <w:tcPr>
            <w:tcW w:w="1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s="Times New Roman"/>
                <w:color w:val="000000"/>
              </w:rPr>
            </w:pPr>
            <w:r>
              <w:rPr>
                <w:rFonts w:ascii="仿宋" w:eastAsia="仿宋" w:hAnsi="仿宋" w:cs="Times New Roman" w:hint="eastAsia"/>
                <w:color w:val="000000"/>
              </w:rPr>
              <w:t>第三届第一次监事会</w:t>
            </w:r>
          </w:p>
        </w:tc>
        <w:tc>
          <w:tcPr>
            <w:tcW w:w="111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s="Times New Roman"/>
                <w:color w:val="000000"/>
              </w:rPr>
            </w:pPr>
            <w:r>
              <w:rPr>
                <w:rFonts w:ascii="仿宋" w:eastAsia="仿宋" w:hAnsi="仿宋" w:cs="Times New Roman" w:hint="eastAsia"/>
                <w:color w:val="000000"/>
              </w:rPr>
              <w:t>2021.5.11</w:t>
            </w:r>
          </w:p>
        </w:tc>
        <w:tc>
          <w:tcPr>
            <w:tcW w:w="72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rPr>
                <w:rFonts w:ascii="仿宋" w:eastAsia="仿宋" w:hAnsi="仿宋" w:cs="Times New Roman"/>
                <w:color w:val="FF0000"/>
              </w:rPr>
            </w:pPr>
            <w:r>
              <w:rPr>
                <w:rFonts w:ascii="仿宋" w:eastAsia="仿宋" w:hAnsi="仿宋" w:cs="Times New Roman" w:hint="eastAsia"/>
                <w:color w:val="FF0000"/>
              </w:rPr>
              <w:t>审议通过了《关于提名尚文娟同志拟担任临猗县新田村镇银行股份有限公司第三届监事会监事长的议案》；《关于提名贾孟辉同志拟担任临猗县新田村镇银行股份有限公司行长的议案》；《关于提名萧志鹏同志拟担任临猗县新田村镇银行股份有限公司副行长的议案》； 《关于免去李少杰同志风险合规部经理职务的议案》；《关于提名李少杰同志拟担任临猗县新田村镇银行股份有限公司董事会秘书的议案》；《关于提名乔舒梦同志拟担任临猗县新田村镇银行股份有限公司行长助理的议案》；《关于拟定侯鋆同志担任临猗县新田村镇银行股份有限公司风险合规部经理的议案》；《关于临猗新田村镇银行董事会秘书及行长助理薪酬计发的议案》</w:t>
            </w:r>
          </w:p>
        </w:tc>
      </w:tr>
      <w:tr w:rsidR="00FF2A1C">
        <w:trPr>
          <w:trHeight w:val="834"/>
          <w:jc w:val="center"/>
        </w:trPr>
        <w:tc>
          <w:tcPr>
            <w:tcW w:w="1190"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s="Times New Roman"/>
                <w:color w:val="000000"/>
              </w:rPr>
            </w:pPr>
            <w:r>
              <w:rPr>
                <w:rFonts w:ascii="仿宋" w:eastAsia="仿宋" w:hAnsi="仿宋" w:cs="Times New Roman" w:hint="eastAsia"/>
                <w:color w:val="000000"/>
              </w:rPr>
              <w:t>第三届第二次监事会</w:t>
            </w:r>
          </w:p>
        </w:tc>
        <w:tc>
          <w:tcPr>
            <w:tcW w:w="1111" w:type="dxa"/>
            <w:tcBorders>
              <w:top w:val="nil"/>
              <w:left w:val="nil"/>
              <w:bottom w:val="single" w:sz="4" w:space="0" w:color="auto"/>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s="Times New Roman"/>
                <w:color w:val="000000"/>
              </w:rPr>
            </w:pPr>
            <w:r>
              <w:rPr>
                <w:rFonts w:ascii="仿宋" w:eastAsia="仿宋" w:hAnsi="仿宋" w:cs="Times New Roman" w:hint="eastAsia"/>
                <w:color w:val="000000"/>
              </w:rPr>
              <w:t>2021.11.04</w:t>
            </w:r>
          </w:p>
        </w:tc>
        <w:tc>
          <w:tcPr>
            <w:tcW w:w="7205" w:type="dxa"/>
            <w:tcBorders>
              <w:top w:val="nil"/>
              <w:left w:val="nil"/>
              <w:bottom w:val="single" w:sz="4" w:space="0" w:color="auto"/>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rPr>
                <w:rFonts w:ascii="仿宋" w:eastAsia="仿宋" w:hAnsi="仿宋" w:cs="Times New Roman"/>
                <w:color w:val="FF0000"/>
              </w:rPr>
            </w:pPr>
            <w:r>
              <w:rPr>
                <w:rFonts w:ascii="仿宋" w:eastAsia="仿宋" w:hAnsi="仿宋" w:cs="Times New Roman" w:hint="eastAsia"/>
                <w:color w:val="FF0000"/>
              </w:rPr>
              <w:t>审议通过了《临猗县新田村镇银行股份有限公司2020年三季度工作报告的议案》；《关于临猗新田村镇银行董事会下设的薪酬委员会、风险管理委员会、提名委员会、关联交易委员会成员变更的议案》；《关于临猗新田村镇银行董事会下设的消费者权益保护委员会委员变更的议案》；《关于制度临猗新田村镇银行洗钱和恐怖融资风险自评估管理办法的议案》；《关于制定临猗新田村镇银行绿色金融实施方案的议案》</w:t>
            </w:r>
          </w:p>
        </w:tc>
      </w:tr>
      <w:tr w:rsidR="00FF2A1C">
        <w:trPr>
          <w:jc w:val="center"/>
        </w:trPr>
        <w:tc>
          <w:tcPr>
            <w:tcW w:w="119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000000"/>
              </w:rPr>
              <w:lastRenderedPageBreak/>
              <w:t>第三届第三次监事会</w:t>
            </w:r>
          </w:p>
        </w:tc>
        <w:tc>
          <w:tcPr>
            <w:tcW w:w="111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jc w:val="center"/>
              <w:rPr>
                <w:rFonts w:ascii="仿宋" w:eastAsia="仿宋" w:hAnsi="仿宋"/>
                <w:color w:val="404040"/>
              </w:rPr>
            </w:pPr>
            <w:r>
              <w:rPr>
                <w:rFonts w:ascii="仿宋" w:eastAsia="仿宋" w:hAnsi="仿宋" w:cs="Times New Roman" w:hint="eastAsia"/>
                <w:color w:val="000000"/>
              </w:rPr>
              <w:t>2020.11.04</w:t>
            </w:r>
          </w:p>
        </w:tc>
        <w:tc>
          <w:tcPr>
            <w:tcW w:w="720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FF2A1C" w:rsidRDefault="00236B06">
            <w:pPr>
              <w:pStyle w:val="a7"/>
              <w:spacing w:before="0" w:beforeAutospacing="0" w:after="0" w:afterAutospacing="0"/>
              <w:rPr>
                <w:rFonts w:ascii="仿宋" w:eastAsia="仿宋" w:hAnsi="仿宋"/>
                <w:color w:val="FF0000"/>
              </w:rPr>
            </w:pPr>
            <w:r>
              <w:rPr>
                <w:rFonts w:ascii="仿宋" w:eastAsia="仿宋" w:hAnsi="仿宋" w:cs="Times New Roman" w:hint="eastAsia"/>
                <w:color w:val="FF0000"/>
              </w:rPr>
              <w:t>审议通过了《关于拟定王博超同志担任临猗县新田村镇银行股份有限公司计划财务部负责人的议案》；《关于临猗县新田村镇银行股份有限公司计划财务部、风险合规部、营业部经理薪酬计发的议案》；《关于临猗县新田村镇银行股份有限公司奖励基金计提的议案》；《关于临猗县新田村镇银行股份有限公司购置土地的议案》；《关于临猗县新田村镇银行有限公司员工最低工资基数调整的议案》</w:t>
            </w:r>
          </w:p>
        </w:tc>
      </w:tr>
    </w:tbl>
    <w:p w:rsidR="00FF2A1C" w:rsidRDefault="00236B06">
      <w:pPr>
        <w:pStyle w:val="2"/>
        <w:spacing w:line="600" w:lineRule="exact"/>
        <w:ind w:firstLineChars="200" w:firstLine="602"/>
        <w:jc w:val="both"/>
        <w:rPr>
          <w:rFonts w:ascii="仿宋" w:eastAsia="仿宋" w:hAnsi="仿宋"/>
          <w:color w:val="404040"/>
          <w:sz w:val="30"/>
          <w:szCs w:val="30"/>
        </w:rPr>
      </w:pPr>
      <w:bookmarkStart w:id="65" w:name="_Toc481080014"/>
      <w:r>
        <w:rPr>
          <w:rStyle w:val="a8"/>
          <w:rFonts w:ascii="仿宋" w:eastAsia="仿宋" w:hAnsi="仿宋" w:cs="Arial" w:hint="eastAsia"/>
          <w:b/>
          <w:bCs/>
          <w:color w:val="000000"/>
          <w:sz w:val="30"/>
          <w:szCs w:val="30"/>
        </w:rPr>
        <w:t>五、</w:t>
      </w:r>
      <w:bookmarkEnd w:id="65"/>
      <w:r>
        <w:rPr>
          <w:rStyle w:val="a8"/>
          <w:rFonts w:ascii="仿宋" w:eastAsia="仿宋" w:hAnsi="仿宋" w:cs="Arial" w:hint="eastAsia"/>
          <w:b/>
          <w:bCs/>
          <w:color w:val="000000"/>
          <w:sz w:val="30"/>
          <w:szCs w:val="30"/>
        </w:rPr>
        <w:t>经营管理层成员及其基本情况</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highlight w:val="yellow"/>
        </w:rPr>
      </w:pPr>
      <w:r w:rsidRPr="002E5766">
        <w:rPr>
          <w:rFonts w:ascii="仿宋" w:eastAsia="仿宋" w:hAnsi="仿宋" w:cs="Times New Roman" w:hint="eastAsia"/>
          <w:color w:val="000000"/>
          <w:sz w:val="30"/>
          <w:szCs w:val="30"/>
        </w:rPr>
        <w:t>本行经营管理层的任职资格和选聘程序、经营管理层的人数和人员构成符合《章程》的规定要求。本行经营管理层由1名行长主持经营班子工作，</w:t>
      </w:r>
      <w:r w:rsidR="003806D5" w:rsidRPr="002E5766">
        <w:rPr>
          <w:rFonts w:ascii="仿宋" w:eastAsia="仿宋" w:hAnsi="仿宋" w:cs="Times New Roman" w:hint="eastAsia"/>
          <w:color w:val="000000"/>
          <w:sz w:val="30"/>
          <w:szCs w:val="30"/>
        </w:rPr>
        <w:t>1</w:t>
      </w:r>
      <w:r w:rsidRPr="002E5766">
        <w:rPr>
          <w:rFonts w:ascii="仿宋" w:eastAsia="仿宋" w:hAnsi="仿宋" w:cs="Times New Roman" w:hint="eastAsia"/>
          <w:color w:val="000000"/>
          <w:sz w:val="30"/>
          <w:szCs w:val="30"/>
        </w:rPr>
        <w:t>名副行长</w:t>
      </w:r>
      <w:r w:rsidR="003806D5" w:rsidRPr="002E5766">
        <w:rPr>
          <w:rFonts w:ascii="仿宋" w:eastAsia="仿宋" w:hAnsi="仿宋" w:cs="Times New Roman" w:hint="eastAsia"/>
          <w:color w:val="000000"/>
          <w:sz w:val="30"/>
          <w:szCs w:val="30"/>
        </w:rPr>
        <w:t>、1名行长助理</w:t>
      </w:r>
      <w:r w:rsidRPr="002E5766">
        <w:rPr>
          <w:rFonts w:ascii="仿宋" w:eastAsia="仿宋" w:hAnsi="仿宋" w:cs="Times New Roman" w:hint="eastAsia"/>
          <w:color w:val="000000"/>
          <w:sz w:val="30"/>
          <w:szCs w:val="30"/>
        </w:rPr>
        <w:t>协助行长工作。</w:t>
      </w:r>
    </w:p>
    <w:tbl>
      <w:tblPr>
        <w:tblW w:w="5953" w:type="dxa"/>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1599"/>
        <w:gridCol w:w="1179"/>
        <w:gridCol w:w="1179"/>
        <w:gridCol w:w="1996"/>
      </w:tblGrid>
      <w:tr w:rsidR="00FF2A1C">
        <w:trPr>
          <w:trHeight w:val="266"/>
          <w:jc w:val="center"/>
        </w:trPr>
        <w:tc>
          <w:tcPr>
            <w:tcW w:w="1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rsidP="003806D5">
            <w:pPr>
              <w:pStyle w:val="a7"/>
              <w:spacing w:before="0" w:beforeAutospacing="0" w:after="0" w:afterAutospacing="0" w:line="600" w:lineRule="exact"/>
              <w:ind w:firstLineChars="200" w:firstLine="600"/>
              <w:jc w:val="center"/>
              <w:rPr>
                <w:rFonts w:ascii="仿宋" w:eastAsia="仿宋" w:hAnsi="仿宋"/>
                <w:color w:val="404040"/>
              </w:rPr>
            </w:pPr>
            <w:r>
              <w:rPr>
                <w:rFonts w:hint="eastAsia"/>
                <w:color w:val="404040"/>
                <w:sz w:val="30"/>
                <w:szCs w:val="30"/>
              </w:rPr>
              <w:t> </w:t>
            </w:r>
            <w:r>
              <w:rPr>
                <w:rStyle w:val="a8"/>
                <w:rFonts w:ascii="仿宋" w:eastAsia="仿宋" w:hAnsi="仿宋" w:cs="Times New Roman" w:hint="eastAsia"/>
                <w:color w:val="000000"/>
              </w:rPr>
              <w:t>姓名</w:t>
            </w:r>
          </w:p>
        </w:tc>
        <w:tc>
          <w:tcPr>
            <w:tcW w:w="1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rPr>
            </w:pPr>
            <w:r>
              <w:rPr>
                <w:rStyle w:val="a8"/>
                <w:rFonts w:ascii="仿宋" w:eastAsia="仿宋" w:hAnsi="仿宋" w:cs="Times New Roman" w:hint="eastAsia"/>
                <w:color w:val="000000"/>
              </w:rPr>
              <w:t>性别</w:t>
            </w:r>
          </w:p>
        </w:tc>
        <w:tc>
          <w:tcPr>
            <w:tcW w:w="1179" w:type="dxa"/>
            <w:tcBorders>
              <w:top w:val="single" w:sz="4" w:space="0" w:color="auto"/>
              <w:left w:val="single" w:sz="4" w:space="0" w:color="auto"/>
              <w:bottom w:val="single" w:sz="4" w:space="0" w:color="auto"/>
              <w:right w:val="single" w:sz="8" w:space="0" w:color="DDDDDD"/>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rPr>
                <w:rFonts w:ascii="仿宋" w:eastAsia="仿宋" w:hAnsi="仿宋"/>
                <w:color w:val="404040"/>
              </w:rPr>
            </w:pPr>
            <w:r>
              <w:rPr>
                <w:rStyle w:val="a8"/>
                <w:rFonts w:ascii="仿宋" w:eastAsia="仿宋" w:hAnsi="仿宋" w:cs="Times New Roman" w:hint="eastAsia"/>
                <w:color w:val="000000"/>
              </w:rPr>
              <w:t>学历</w:t>
            </w:r>
          </w:p>
        </w:tc>
        <w:tc>
          <w:tcPr>
            <w:tcW w:w="19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2"/>
              <w:jc w:val="center"/>
              <w:rPr>
                <w:rFonts w:ascii="仿宋" w:eastAsia="仿宋" w:hAnsi="仿宋"/>
                <w:color w:val="404040"/>
              </w:rPr>
            </w:pPr>
            <w:r>
              <w:rPr>
                <w:rStyle w:val="a8"/>
                <w:rFonts w:ascii="仿宋" w:eastAsia="仿宋" w:hAnsi="仿宋" w:cs="Times New Roman" w:hint="eastAsia"/>
                <w:color w:val="000000"/>
              </w:rPr>
              <w:t>职务</w:t>
            </w:r>
          </w:p>
        </w:tc>
      </w:tr>
      <w:tr w:rsidR="00FF2A1C">
        <w:trPr>
          <w:trHeight w:val="353"/>
          <w:jc w:val="center"/>
        </w:trPr>
        <w:tc>
          <w:tcPr>
            <w:tcW w:w="1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贾孟辉</w:t>
            </w:r>
          </w:p>
        </w:tc>
        <w:tc>
          <w:tcPr>
            <w:tcW w:w="1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男</w:t>
            </w:r>
          </w:p>
        </w:tc>
        <w:tc>
          <w:tcPr>
            <w:tcW w:w="11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本科</w:t>
            </w:r>
          </w:p>
        </w:tc>
        <w:tc>
          <w:tcPr>
            <w:tcW w:w="199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行长</w:t>
            </w:r>
          </w:p>
        </w:tc>
      </w:tr>
      <w:tr w:rsidR="00FF2A1C">
        <w:trPr>
          <w:trHeight w:val="285"/>
          <w:jc w:val="center"/>
        </w:trPr>
        <w:tc>
          <w:tcPr>
            <w:tcW w:w="1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萧志鹏</w:t>
            </w:r>
          </w:p>
        </w:tc>
        <w:tc>
          <w:tcPr>
            <w:tcW w:w="1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男</w:t>
            </w:r>
          </w:p>
        </w:tc>
        <w:tc>
          <w:tcPr>
            <w:tcW w:w="11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专科</w:t>
            </w:r>
          </w:p>
        </w:tc>
        <w:tc>
          <w:tcPr>
            <w:tcW w:w="199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副行长</w:t>
            </w:r>
          </w:p>
        </w:tc>
      </w:tr>
      <w:tr w:rsidR="00FF2A1C">
        <w:trPr>
          <w:trHeight w:val="351"/>
          <w:jc w:val="center"/>
        </w:trPr>
        <w:tc>
          <w:tcPr>
            <w:tcW w:w="1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3806D5">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乔舒梦</w:t>
            </w:r>
          </w:p>
        </w:tc>
        <w:tc>
          <w:tcPr>
            <w:tcW w:w="1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女</w:t>
            </w:r>
          </w:p>
        </w:tc>
        <w:tc>
          <w:tcPr>
            <w:tcW w:w="11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本科</w:t>
            </w:r>
          </w:p>
        </w:tc>
        <w:tc>
          <w:tcPr>
            <w:tcW w:w="199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行长</w:t>
            </w:r>
            <w:r w:rsidR="005424AD">
              <w:rPr>
                <w:rFonts w:ascii="仿宋" w:eastAsia="仿宋" w:hAnsi="仿宋" w:cs="Times New Roman" w:hint="eastAsia"/>
                <w:color w:val="000000"/>
              </w:rPr>
              <w:t>助理</w:t>
            </w:r>
          </w:p>
        </w:tc>
      </w:tr>
    </w:tbl>
    <w:p w:rsidR="00FF2A1C" w:rsidRDefault="00236B06">
      <w:pPr>
        <w:pStyle w:val="2"/>
        <w:spacing w:line="600" w:lineRule="exact"/>
        <w:ind w:firstLineChars="200" w:firstLine="602"/>
        <w:jc w:val="both"/>
        <w:rPr>
          <w:rFonts w:ascii="仿宋" w:eastAsia="仿宋" w:hAnsi="仿宋"/>
          <w:color w:val="404040"/>
          <w:sz w:val="30"/>
          <w:szCs w:val="30"/>
        </w:rPr>
      </w:pPr>
      <w:bookmarkStart w:id="66" w:name="_Toc227401551"/>
      <w:bookmarkStart w:id="67" w:name="_Toc481080015"/>
      <w:bookmarkEnd w:id="66"/>
      <w:r>
        <w:rPr>
          <w:rStyle w:val="a8"/>
          <w:rFonts w:ascii="仿宋" w:eastAsia="仿宋" w:hAnsi="仿宋" w:cs="Arial" w:hint="eastAsia"/>
          <w:b/>
          <w:bCs/>
          <w:color w:val="404040"/>
          <w:sz w:val="30"/>
          <w:szCs w:val="30"/>
        </w:rPr>
        <w:t>六、</w:t>
      </w:r>
      <w:bookmarkEnd w:id="67"/>
      <w:r>
        <w:rPr>
          <w:rStyle w:val="a8"/>
          <w:rFonts w:ascii="仿宋" w:eastAsia="仿宋" w:hAnsi="仿宋" w:cs="Arial" w:hint="eastAsia"/>
          <w:b/>
          <w:bCs/>
          <w:color w:val="404040"/>
          <w:sz w:val="30"/>
          <w:szCs w:val="30"/>
        </w:rPr>
        <w:t>职能部门与分支机构设置情况</w:t>
      </w:r>
    </w:p>
    <w:p w:rsidR="00FF2A1C" w:rsidRDefault="00236B06">
      <w:pPr>
        <w:pStyle w:val="a7"/>
        <w:spacing w:before="0" w:beforeAutospacing="0" w:after="0" w:afterAutospacing="0" w:line="600" w:lineRule="exact"/>
        <w:ind w:firstLineChars="200" w:firstLine="600"/>
        <w:jc w:val="both"/>
        <w:rPr>
          <w:rFonts w:ascii="仿宋" w:eastAsia="仿宋" w:hAnsi="仿宋" w:cs="Times New Roman"/>
          <w:color w:val="FF0000"/>
          <w:sz w:val="30"/>
          <w:szCs w:val="30"/>
        </w:rPr>
      </w:pPr>
      <w:bookmarkStart w:id="68" w:name="_（一）职能部门设置情况"/>
      <w:bookmarkEnd w:id="68"/>
      <w:r>
        <w:rPr>
          <w:rFonts w:ascii="仿宋" w:eastAsia="仿宋" w:hAnsi="仿宋" w:cs="Times New Roman" w:hint="eastAsia"/>
          <w:color w:val="FF0000"/>
          <w:sz w:val="30"/>
          <w:szCs w:val="30"/>
        </w:rPr>
        <w:t>本行机构设置遵循“简洁、高效”原则，本行下设综合办公室、营业部、信贷管理部、计划财务部、风险合规部、科技部、运维部7个职能部门和庙上支行、临晋支行、耽子支行、孙吉支行、角杯支行。</w:t>
      </w:r>
    </w:p>
    <w:p w:rsidR="00FF2A1C" w:rsidRDefault="00236B06">
      <w:pPr>
        <w:pStyle w:val="a7"/>
        <w:spacing w:before="0" w:beforeAutospacing="0" w:after="0" w:afterAutospacing="0" w:line="600" w:lineRule="exact"/>
        <w:ind w:firstLineChars="200" w:firstLine="600"/>
        <w:jc w:val="both"/>
        <w:rPr>
          <w:rFonts w:ascii="仿宋" w:eastAsia="仿宋" w:hAnsi="仿宋" w:cs="Times New Roman"/>
          <w:color w:val="FF0000"/>
          <w:sz w:val="30"/>
          <w:szCs w:val="30"/>
        </w:rPr>
      </w:pPr>
      <w:bookmarkStart w:id="69" w:name="_Toc193883081"/>
      <w:r>
        <w:rPr>
          <w:rFonts w:ascii="仿宋" w:eastAsia="仿宋" w:hAnsi="仿宋" w:cs="Times New Roman" w:hint="eastAsia"/>
          <w:color w:val="FF0000"/>
          <w:sz w:val="30"/>
          <w:szCs w:val="30"/>
        </w:rPr>
        <w:t>本行在岗正式员工10</w:t>
      </w:r>
      <w:r w:rsidR="009947D7">
        <w:rPr>
          <w:rFonts w:ascii="仿宋" w:eastAsia="仿宋" w:hAnsi="仿宋" w:cs="Times New Roman" w:hint="eastAsia"/>
          <w:color w:val="FF0000"/>
          <w:sz w:val="30"/>
          <w:szCs w:val="30"/>
        </w:rPr>
        <w:t>5</w:t>
      </w:r>
      <w:r>
        <w:rPr>
          <w:rFonts w:ascii="仿宋" w:eastAsia="仿宋" w:hAnsi="仿宋" w:cs="Times New Roman" w:hint="eastAsia"/>
          <w:color w:val="FF0000"/>
          <w:sz w:val="30"/>
          <w:szCs w:val="30"/>
        </w:rPr>
        <w:t>人，其中5</w:t>
      </w:r>
      <w:r w:rsidR="003F6A29">
        <w:rPr>
          <w:rFonts w:ascii="仿宋" w:eastAsia="仿宋" w:hAnsi="仿宋" w:cs="Times New Roman" w:hint="eastAsia"/>
          <w:color w:val="FF0000"/>
          <w:sz w:val="30"/>
          <w:szCs w:val="30"/>
        </w:rPr>
        <w:t>7</w:t>
      </w:r>
      <w:r>
        <w:rPr>
          <w:rFonts w:ascii="仿宋" w:eastAsia="仿宋" w:hAnsi="仿宋" w:cs="Times New Roman" w:hint="eastAsia"/>
          <w:color w:val="FF0000"/>
          <w:sz w:val="30"/>
          <w:szCs w:val="30"/>
        </w:rPr>
        <w:t>名具有大专学历，48名具有本科学历，员工平均年龄28岁。</w:t>
      </w:r>
      <w:bookmarkEnd w:id="69"/>
    </w:p>
    <w:p w:rsidR="00FF2A1C" w:rsidRDefault="00FF2A1C">
      <w:pPr>
        <w:pStyle w:val="1"/>
        <w:spacing w:before="0" w:beforeAutospacing="0" w:after="0" w:afterAutospacing="0" w:line="500" w:lineRule="exact"/>
        <w:jc w:val="center"/>
        <w:rPr>
          <w:rStyle w:val="a8"/>
          <w:rFonts w:ascii="仿宋" w:eastAsia="仿宋" w:hAnsi="仿宋"/>
          <w:b/>
          <w:bCs/>
          <w:color w:val="000000"/>
          <w:sz w:val="30"/>
          <w:szCs w:val="30"/>
        </w:rPr>
      </w:pPr>
      <w:bookmarkStart w:id="70" w:name="_Toc481080016"/>
    </w:p>
    <w:p w:rsidR="00FF2A1C" w:rsidRDefault="00FF2A1C">
      <w:pPr>
        <w:pStyle w:val="1"/>
        <w:spacing w:before="0" w:beforeAutospacing="0" w:after="0" w:afterAutospacing="0" w:line="500" w:lineRule="exact"/>
        <w:jc w:val="center"/>
        <w:rPr>
          <w:rStyle w:val="a8"/>
          <w:rFonts w:ascii="仿宋" w:eastAsia="仿宋" w:hAnsi="仿宋"/>
          <w:b/>
          <w:bCs/>
          <w:color w:val="000000"/>
          <w:sz w:val="30"/>
          <w:szCs w:val="30"/>
        </w:rPr>
      </w:pPr>
    </w:p>
    <w:p w:rsidR="00FF2A1C" w:rsidRDefault="00236B06">
      <w:pPr>
        <w:pStyle w:val="1"/>
        <w:spacing w:before="0" w:beforeAutospacing="0" w:after="0" w:afterAutospacing="0" w:line="500" w:lineRule="exact"/>
        <w:jc w:val="center"/>
        <w:rPr>
          <w:rFonts w:ascii="仿宋" w:eastAsia="仿宋" w:hAnsi="仿宋"/>
          <w:color w:val="404040"/>
          <w:sz w:val="30"/>
          <w:szCs w:val="30"/>
        </w:rPr>
      </w:pPr>
      <w:r>
        <w:rPr>
          <w:rStyle w:val="a8"/>
          <w:rFonts w:ascii="仿宋" w:eastAsia="仿宋" w:hAnsi="仿宋" w:hint="eastAsia"/>
          <w:b/>
          <w:bCs/>
          <w:color w:val="000000"/>
          <w:sz w:val="30"/>
          <w:szCs w:val="30"/>
        </w:rPr>
        <w:lastRenderedPageBreak/>
        <w:t>第六章　年度重大事项</w:t>
      </w:r>
      <w:bookmarkEnd w:id="70"/>
    </w:p>
    <w:p w:rsidR="00FF2A1C" w:rsidRDefault="00236B06">
      <w:pPr>
        <w:pStyle w:val="2"/>
        <w:spacing w:line="500" w:lineRule="exact"/>
        <w:ind w:firstLineChars="200" w:firstLine="602"/>
        <w:jc w:val="both"/>
        <w:rPr>
          <w:rFonts w:ascii="仿宋" w:eastAsia="仿宋" w:hAnsi="仿宋"/>
          <w:color w:val="404040"/>
          <w:sz w:val="30"/>
          <w:szCs w:val="30"/>
        </w:rPr>
      </w:pPr>
      <w:bookmarkStart w:id="71" w:name="_Toc481080017"/>
      <w:r>
        <w:rPr>
          <w:rStyle w:val="a8"/>
          <w:rFonts w:ascii="仿宋" w:eastAsia="仿宋" w:hAnsi="仿宋" w:cs="Arial" w:hint="eastAsia"/>
          <w:b/>
          <w:bCs/>
          <w:color w:val="000000"/>
          <w:sz w:val="30"/>
          <w:szCs w:val="30"/>
        </w:rPr>
        <w:t>一、</w:t>
      </w:r>
      <w:bookmarkEnd w:id="71"/>
      <w:r>
        <w:rPr>
          <w:rStyle w:val="a8"/>
          <w:rFonts w:ascii="仿宋" w:eastAsia="仿宋" w:hAnsi="仿宋" w:cs="Arial" w:hint="eastAsia"/>
          <w:b/>
          <w:bCs/>
          <w:color w:val="000000"/>
          <w:sz w:val="30"/>
          <w:szCs w:val="30"/>
        </w:rPr>
        <w:t>最大十名股东及报告期内变动情况</w:t>
      </w:r>
    </w:p>
    <w:p w:rsidR="00FF2A1C" w:rsidRDefault="00236B06">
      <w:pPr>
        <w:pStyle w:val="a7"/>
        <w:spacing w:before="0" w:beforeAutospacing="0" w:after="0" w:afterAutospacing="0" w:line="500" w:lineRule="exact"/>
        <w:ind w:firstLineChars="200" w:firstLine="600"/>
        <w:jc w:val="both"/>
        <w:rPr>
          <w:rFonts w:ascii="仿宋" w:eastAsia="仿宋" w:hAnsi="仿宋" w:cs="Times New Roman"/>
          <w:color w:val="000000"/>
          <w:sz w:val="30"/>
          <w:szCs w:val="30"/>
          <w:highlight w:val="yellow"/>
        </w:rPr>
      </w:pPr>
      <w:r>
        <w:rPr>
          <w:rFonts w:ascii="仿宋" w:eastAsia="仿宋" w:hAnsi="仿宋" w:cs="Times New Roman" w:hint="eastAsia"/>
          <w:color w:val="000000"/>
          <w:sz w:val="30"/>
          <w:szCs w:val="30"/>
        </w:rPr>
        <w:t>2021年度，本行最大和唯一大股东为山西侯马农村商业银行股份有限公司（主发起行），占股20%；共有十五名股东，最大股东持股1200万元，持股比例20%。具体如下：</w:t>
      </w:r>
    </w:p>
    <w:tbl>
      <w:tblPr>
        <w:tblW w:w="9521" w:type="dxa"/>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734"/>
        <w:gridCol w:w="5370"/>
        <w:gridCol w:w="2250"/>
        <w:gridCol w:w="1167"/>
      </w:tblGrid>
      <w:tr w:rsidR="00FF2A1C">
        <w:trPr>
          <w:trHeight w:val="440"/>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序号</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2"/>
              <w:jc w:val="center"/>
              <w:rPr>
                <w:rFonts w:ascii="仿宋" w:eastAsia="仿宋" w:hAnsi="仿宋"/>
                <w:color w:val="404040"/>
              </w:rPr>
            </w:pPr>
            <w:r>
              <w:rPr>
                <w:rStyle w:val="a8"/>
                <w:rFonts w:ascii="仿宋" w:eastAsia="仿宋" w:hAnsi="仿宋" w:cs="Times New Roman" w:hint="eastAsia"/>
                <w:color w:val="000000"/>
              </w:rPr>
              <w:t>姓</w:t>
            </w:r>
            <w:r>
              <w:rPr>
                <w:rStyle w:val="a8"/>
                <w:rFonts w:eastAsia="仿宋" w:hint="eastAsia"/>
                <w:color w:val="000000"/>
              </w:rPr>
              <w:t> </w:t>
            </w:r>
            <w:r>
              <w:rPr>
                <w:rStyle w:val="a8"/>
                <w:rFonts w:ascii="仿宋" w:eastAsia="仿宋" w:hAnsi="仿宋" w:cs="Times New Roman" w:hint="eastAsia"/>
                <w:color w:val="000000"/>
              </w:rPr>
              <w:t>名</w:t>
            </w:r>
          </w:p>
        </w:tc>
        <w:tc>
          <w:tcPr>
            <w:tcW w:w="2250" w:type="dxa"/>
            <w:tcBorders>
              <w:top w:val="single" w:sz="4" w:space="0" w:color="auto"/>
              <w:left w:val="single" w:sz="4" w:space="0" w:color="auto"/>
              <w:bottom w:val="single" w:sz="4" w:space="0" w:color="auto"/>
              <w:right w:val="single" w:sz="8" w:space="0" w:color="DDDDDD"/>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持股股金额（万元）</w:t>
            </w:r>
          </w:p>
        </w:tc>
        <w:tc>
          <w:tcPr>
            <w:tcW w:w="1167"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Style w:val="a8"/>
                <w:rFonts w:ascii="仿宋" w:eastAsia="仿宋" w:hAnsi="仿宋" w:cs="Times New Roman" w:hint="eastAsia"/>
                <w:color w:val="000000"/>
              </w:rPr>
              <w:t>股份比例%</w:t>
            </w:r>
          </w:p>
        </w:tc>
      </w:tr>
      <w:tr w:rsidR="00FF2A1C">
        <w:trPr>
          <w:trHeight w:val="470"/>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1</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山西侯马农村商业银行股份有限公司（主发起行）</w:t>
            </w:r>
          </w:p>
        </w:tc>
        <w:tc>
          <w:tcPr>
            <w:tcW w:w="2250" w:type="dxa"/>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1200</w:t>
            </w:r>
          </w:p>
        </w:tc>
        <w:tc>
          <w:tcPr>
            <w:tcW w:w="116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20</w:t>
            </w:r>
          </w:p>
        </w:tc>
      </w:tr>
      <w:tr w:rsidR="00FF2A1C">
        <w:trPr>
          <w:trHeight w:val="335"/>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4"/>
              <w:spacing w:before="0" w:beforeAutospacing="0" w:after="0" w:afterAutospacing="0" w:line="600" w:lineRule="exact"/>
              <w:jc w:val="both"/>
              <w:rPr>
                <w:rFonts w:ascii="仿宋" w:eastAsia="仿宋" w:hAnsi="仿宋"/>
                <w:color w:val="404040"/>
              </w:rPr>
            </w:pPr>
            <w:r>
              <w:rPr>
                <w:rFonts w:ascii="仿宋" w:eastAsia="仿宋" w:hAnsi="仿宋" w:hint="eastAsia"/>
                <w:color w:val="000000"/>
              </w:rPr>
              <w:t>2</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olor w:val="404040"/>
              </w:rPr>
              <w:t>吉林德惠农村商业银行股份有限公司</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594</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9.9</w:t>
            </w:r>
          </w:p>
        </w:tc>
      </w:tr>
      <w:tr w:rsidR="00FF2A1C">
        <w:trPr>
          <w:trHeight w:val="421"/>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3</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薛胜利</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600</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10</w:t>
            </w:r>
          </w:p>
        </w:tc>
      </w:tr>
      <w:tr w:rsidR="00FF2A1C">
        <w:trPr>
          <w:trHeight w:val="363"/>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4</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olor w:val="404040"/>
              </w:rPr>
              <w:t>杨长锁</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600</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10</w:t>
            </w:r>
          </w:p>
        </w:tc>
      </w:tr>
      <w:tr w:rsidR="00FF2A1C">
        <w:trPr>
          <w:trHeight w:val="384"/>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5</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hint="eastAsia"/>
                <w:color w:val="404040"/>
              </w:rPr>
              <w:t>刘彩红</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540</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9</w:t>
            </w:r>
          </w:p>
        </w:tc>
      </w:tr>
      <w:tr w:rsidR="00FF2A1C">
        <w:trPr>
          <w:trHeight w:val="333"/>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6</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hint="eastAsia"/>
                <w:color w:val="404040"/>
              </w:rPr>
              <w:t>魏海军</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480</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8</w:t>
            </w:r>
          </w:p>
        </w:tc>
      </w:tr>
      <w:tr w:rsidR="00FF2A1C">
        <w:trPr>
          <w:trHeight w:val="281"/>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7</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付雪琴</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360</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6</w:t>
            </w:r>
          </w:p>
        </w:tc>
      </w:tr>
      <w:tr w:rsidR="00FF2A1C">
        <w:trPr>
          <w:trHeight w:val="404"/>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8</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段丽萍</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300</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5</w:t>
            </w:r>
          </w:p>
        </w:tc>
      </w:tr>
      <w:tr w:rsidR="00FF2A1C">
        <w:trPr>
          <w:trHeight w:val="352"/>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9</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荆欣</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300</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5</w:t>
            </w:r>
          </w:p>
        </w:tc>
      </w:tr>
      <w:tr w:rsidR="00FF2A1C">
        <w:trPr>
          <w:trHeight w:val="282"/>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olor w:val="404040"/>
              </w:rPr>
            </w:pPr>
            <w:r>
              <w:rPr>
                <w:rFonts w:ascii="仿宋" w:eastAsia="仿宋" w:hAnsi="仿宋" w:cs="Times New Roman" w:hint="eastAsia"/>
                <w:color w:val="000000"/>
              </w:rPr>
              <w:t>10</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袁淑兰</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246</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3.44</w:t>
            </w:r>
          </w:p>
        </w:tc>
      </w:tr>
      <w:tr w:rsidR="00FF2A1C">
        <w:trPr>
          <w:trHeight w:val="282"/>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s="Times New Roman"/>
                <w:color w:val="000000"/>
              </w:rPr>
            </w:pPr>
            <w:r>
              <w:rPr>
                <w:rFonts w:ascii="仿宋" w:eastAsia="仿宋" w:hAnsi="仿宋" w:cs="Times New Roman" w:hint="eastAsia"/>
                <w:color w:val="000000"/>
              </w:rPr>
              <w:t>11</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程占平</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240</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4</w:t>
            </w:r>
          </w:p>
        </w:tc>
      </w:tr>
      <w:tr w:rsidR="00FF2A1C">
        <w:trPr>
          <w:trHeight w:val="282"/>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s="Times New Roman"/>
                <w:color w:val="000000"/>
              </w:rPr>
            </w:pPr>
            <w:r>
              <w:rPr>
                <w:rFonts w:ascii="仿宋" w:eastAsia="仿宋" w:hAnsi="仿宋" w:cs="Times New Roman" w:hint="eastAsia"/>
                <w:color w:val="000000"/>
              </w:rPr>
              <w:t>12</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刘永忠</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240</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4</w:t>
            </w:r>
          </w:p>
        </w:tc>
      </w:tr>
      <w:tr w:rsidR="00FF2A1C">
        <w:trPr>
          <w:trHeight w:val="282"/>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s="Times New Roman"/>
                <w:color w:val="000000"/>
              </w:rPr>
            </w:pPr>
            <w:r>
              <w:rPr>
                <w:rFonts w:ascii="仿宋" w:eastAsia="仿宋" w:hAnsi="仿宋" w:cs="Times New Roman" w:hint="eastAsia"/>
                <w:color w:val="000000"/>
              </w:rPr>
              <w:t>13</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王稠虎</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180</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3</w:t>
            </w:r>
          </w:p>
        </w:tc>
      </w:tr>
      <w:tr w:rsidR="00FF2A1C">
        <w:trPr>
          <w:trHeight w:val="282"/>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s="Times New Roman"/>
                <w:color w:val="000000"/>
              </w:rPr>
            </w:pPr>
            <w:r>
              <w:rPr>
                <w:rFonts w:ascii="仿宋" w:eastAsia="仿宋" w:hAnsi="仿宋" w:cs="Times New Roman" w:hint="eastAsia"/>
                <w:color w:val="000000"/>
              </w:rPr>
              <w:t>14</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王勤生</w:t>
            </w:r>
          </w:p>
        </w:tc>
        <w:tc>
          <w:tcPr>
            <w:tcW w:w="225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120</w:t>
            </w:r>
          </w:p>
        </w:tc>
        <w:tc>
          <w:tcPr>
            <w:tcW w:w="1167" w:type="dxa"/>
            <w:tcBorders>
              <w:top w:val="nil"/>
              <w:left w:val="nil"/>
              <w:bottom w:val="single" w:sz="4"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2</w:t>
            </w:r>
          </w:p>
        </w:tc>
      </w:tr>
      <w:tr w:rsidR="00FF2A1C">
        <w:trPr>
          <w:trHeight w:val="282"/>
          <w:jc w:val="center"/>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jc w:val="both"/>
              <w:rPr>
                <w:rFonts w:ascii="仿宋" w:eastAsia="仿宋" w:hAnsi="仿宋" w:cs="Times New Roman"/>
                <w:color w:val="000000"/>
              </w:rPr>
            </w:pPr>
            <w:r>
              <w:rPr>
                <w:rFonts w:ascii="仿宋" w:eastAsia="仿宋" w:hAnsi="仿宋" w:cs="Times New Roman" w:hint="eastAsia"/>
                <w:color w:val="000000"/>
              </w:rPr>
              <w:t>15</w:t>
            </w:r>
          </w:p>
        </w:tc>
        <w:tc>
          <w:tcPr>
            <w:tcW w:w="5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席小玲</w:t>
            </w:r>
          </w:p>
        </w:tc>
        <w:tc>
          <w:tcPr>
            <w:tcW w:w="2250" w:type="dxa"/>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40</w:t>
            </w:r>
          </w:p>
        </w:tc>
        <w:tc>
          <w:tcPr>
            <w:tcW w:w="116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s="Times New Roman"/>
                <w:color w:val="000000"/>
              </w:rPr>
            </w:pPr>
            <w:r>
              <w:rPr>
                <w:rFonts w:ascii="仿宋" w:eastAsia="仿宋" w:hAnsi="仿宋" w:cs="Times New Roman" w:hint="eastAsia"/>
                <w:color w:val="000000"/>
              </w:rPr>
              <w:t>0.66</w:t>
            </w:r>
          </w:p>
        </w:tc>
      </w:tr>
      <w:tr w:rsidR="00FF2A1C">
        <w:trPr>
          <w:trHeight w:val="410"/>
          <w:jc w:val="center"/>
        </w:trPr>
        <w:tc>
          <w:tcPr>
            <w:tcW w:w="610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合计</w:t>
            </w:r>
          </w:p>
        </w:tc>
        <w:tc>
          <w:tcPr>
            <w:tcW w:w="225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FF2A1C" w:rsidRDefault="002D1A28">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6000</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tcPr>
          <w:p w:rsidR="00FF2A1C" w:rsidRDefault="00236B06">
            <w:pPr>
              <w:pStyle w:val="a7"/>
              <w:spacing w:before="0" w:beforeAutospacing="0" w:after="0" w:afterAutospacing="0" w:line="600" w:lineRule="exact"/>
              <w:ind w:firstLineChars="200" w:firstLine="480"/>
              <w:jc w:val="center"/>
              <w:rPr>
                <w:rFonts w:ascii="仿宋" w:eastAsia="仿宋" w:hAnsi="仿宋"/>
                <w:color w:val="404040"/>
              </w:rPr>
            </w:pPr>
            <w:r>
              <w:rPr>
                <w:rFonts w:ascii="仿宋" w:eastAsia="仿宋" w:hAnsi="仿宋" w:cs="Times New Roman" w:hint="eastAsia"/>
                <w:color w:val="000000"/>
              </w:rPr>
              <w:t>100</w:t>
            </w:r>
          </w:p>
        </w:tc>
      </w:tr>
    </w:tbl>
    <w:p w:rsidR="00FF2A1C" w:rsidRDefault="00236B06">
      <w:pPr>
        <w:pStyle w:val="2"/>
        <w:spacing w:line="600" w:lineRule="exact"/>
        <w:ind w:firstLineChars="200" w:firstLine="602"/>
        <w:jc w:val="both"/>
        <w:rPr>
          <w:rFonts w:ascii="仿宋" w:eastAsia="仿宋" w:hAnsi="仿宋"/>
          <w:color w:val="404040"/>
          <w:sz w:val="30"/>
          <w:szCs w:val="30"/>
        </w:rPr>
      </w:pPr>
      <w:bookmarkStart w:id="72" w:name="_Toc481080018"/>
      <w:r>
        <w:rPr>
          <w:rStyle w:val="a8"/>
          <w:rFonts w:ascii="仿宋" w:eastAsia="仿宋" w:hAnsi="仿宋" w:cs="Arial" w:hint="eastAsia"/>
          <w:b/>
          <w:bCs/>
          <w:color w:val="000000"/>
          <w:sz w:val="30"/>
          <w:szCs w:val="30"/>
        </w:rPr>
        <w:lastRenderedPageBreak/>
        <w:t>二、</w:t>
      </w:r>
      <w:bookmarkEnd w:id="72"/>
      <w:r>
        <w:rPr>
          <w:rStyle w:val="a8"/>
          <w:rFonts w:ascii="仿宋" w:eastAsia="仿宋" w:hAnsi="仿宋" w:cs="Arial" w:hint="eastAsia"/>
          <w:b/>
          <w:bCs/>
          <w:color w:val="000000"/>
          <w:sz w:val="30"/>
          <w:szCs w:val="30"/>
        </w:rPr>
        <w:t>增加或减少注册资本、分立合并事项</w:t>
      </w:r>
    </w:p>
    <w:p w:rsidR="00FF2A1C" w:rsidRDefault="00236B06">
      <w:pPr>
        <w:pStyle w:val="a7"/>
        <w:spacing w:before="0" w:beforeAutospacing="0" w:after="0" w:afterAutospacing="0" w:line="600" w:lineRule="exact"/>
        <w:ind w:firstLineChars="200" w:firstLine="600"/>
        <w:jc w:val="both"/>
        <w:rPr>
          <w:rFonts w:ascii="仿宋" w:eastAsia="仿宋" w:hAnsi="仿宋"/>
          <w:color w:val="404040"/>
          <w:sz w:val="30"/>
          <w:szCs w:val="30"/>
        </w:rPr>
      </w:pPr>
      <w:r>
        <w:rPr>
          <w:rFonts w:ascii="仿宋" w:eastAsia="仿宋" w:hAnsi="仿宋" w:cs="Times New Roman" w:hint="eastAsia"/>
          <w:color w:val="000000"/>
          <w:sz w:val="30"/>
          <w:szCs w:val="30"/>
        </w:rPr>
        <w:t>报告期内，本行没有增加或减少注册资本，无分立合并事项。</w:t>
      </w:r>
    </w:p>
    <w:p w:rsidR="00FF2A1C" w:rsidRDefault="00236B06">
      <w:pPr>
        <w:pStyle w:val="a7"/>
        <w:spacing w:before="0" w:beforeAutospacing="0" w:after="0" w:afterAutospacing="0" w:line="600" w:lineRule="exact"/>
        <w:ind w:firstLineChars="200" w:firstLine="602"/>
        <w:jc w:val="both"/>
        <w:rPr>
          <w:rFonts w:ascii="仿宋" w:eastAsia="仿宋" w:hAnsi="仿宋"/>
          <w:color w:val="404040"/>
          <w:sz w:val="30"/>
          <w:szCs w:val="30"/>
        </w:rPr>
      </w:pPr>
      <w:bookmarkStart w:id="73" w:name="_Toc481080019"/>
      <w:r>
        <w:rPr>
          <w:rStyle w:val="a8"/>
          <w:rFonts w:ascii="仿宋" w:eastAsia="仿宋" w:hAnsi="仿宋" w:cs="Arial" w:hint="eastAsia"/>
          <w:color w:val="000000"/>
          <w:sz w:val="30"/>
          <w:szCs w:val="30"/>
        </w:rPr>
        <w:t>三、</w:t>
      </w:r>
      <w:bookmarkEnd w:id="73"/>
      <w:r>
        <w:rPr>
          <w:rStyle w:val="a8"/>
          <w:rFonts w:ascii="仿宋" w:eastAsia="仿宋" w:hAnsi="仿宋" w:cs="Arial" w:hint="eastAsia"/>
          <w:color w:val="000000"/>
          <w:sz w:val="30"/>
          <w:szCs w:val="30"/>
        </w:rPr>
        <w:t>本行、本行董事会及董事接受处罚情况</w:t>
      </w:r>
    </w:p>
    <w:p w:rsidR="00FF2A1C" w:rsidRDefault="00236B06">
      <w:pPr>
        <w:pStyle w:val="a7"/>
        <w:spacing w:before="0" w:beforeAutospacing="0" w:after="0" w:afterAutospacing="0" w:line="600" w:lineRule="exact"/>
        <w:ind w:firstLineChars="200" w:firstLine="600"/>
        <w:jc w:val="both"/>
        <w:rPr>
          <w:rFonts w:ascii="仿宋" w:eastAsia="仿宋" w:hAnsi="仿宋" w:cs="Times New Roman" w:hint="eastAsia"/>
          <w:color w:val="000000"/>
          <w:sz w:val="30"/>
          <w:szCs w:val="30"/>
        </w:rPr>
      </w:pPr>
      <w:r>
        <w:rPr>
          <w:rFonts w:ascii="仿宋" w:eastAsia="仿宋" w:hAnsi="仿宋" w:cs="Times New Roman" w:hint="eastAsia"/>
          <w:color w:val="000000"/>
          <w:sz w:val="30"/>
          <w:szCs w:val="30"/>
        </w:rPr>
        <w:t>报告期内，本行、本行董事会及董事没有接受处罚情况。</w:t>
      </w:r>
    </w:p>
    <w:p w:rsidR="00137A7C" w:rsidRPr="003D6389" w:rsidRDefault="00137A7C" w:rsidP="00BB1DDC">
      <w:pPr>
        <w:pStyle w:val="a7"/>
        <w:spacing w:before="0" w:beforeAutospacing="0" w:after="0" w:afterAutospacing="0" w:line="600" w:lineRule="exact"/>
        <w:ind w:firstLineChars="200" w:firstLine="602"/>
        <w:jc w:val="both"/>
        <w:rPr>
          <w:rStyle w:val="a8"/>
          <w:rFonts w:ascii="仿宋" w:eastAsia="仿宋" w:hAnsi="仿宋" w:cs="Arial" w:hint="eastAsia"/>
          <w:color w:val="000000"/>
          <w:sz w:val="30"/>
          <w:szCs w:val="30"/>
        </w:rPr>
      </w:pPr>
      <w:r w:rsidRPr="003D6389">
        <w:rPr>
          <w:rStyle w:val="a8"/>
          <w:rFonts w:ascii="仿宋" w:eastAsia="仿宋" w:hAnsi="仿宋" w:cs="Arial" w:hint="eastAsia"/>
          <w:color w:val="000000"/>
          <w:sz w:val="30"/>
          <w:szCs w:val="30"/>
        </w:rPr>
        <w:t>四、年度消费者权益保护工作情况</w:t>
      </w:r>
    </w:p>
    <w:p w:rsidR="00BF6BF5" w:rsidRDefault="00BF6BF5">
      <w:pPr>
        <w:pStyle w:val="a7"/>
        <w:spacing w:before="0" w:beforeAutospacing="0" w:after="0" w:afterAutospacing="0" w:line="600" w:lineRule="exact"/>
        <w:ind w:firstLineChars="200" w:firstLine="600"/>
        <w:jc w:val="both"/>
        <w:rPr>
          <w:rFonts w:ascii="仿宋" w:eastAsia="仿宋" w:hAnsi="仿宋"/>
          <w:color w:val="404040"/>
          <w:sz w:val="30"/>
          <w:szCs w:val="30"/>
        </w:rPr>
      </w:pPr>
      <w:r w:rsidRPr="003D6389">
        <w:rPr>
          <w:rFonts w:ascii="仿宋" w:eastAsia="仿宋" w:hAnsi="仿宋" w:cs="Times New Roman" w:hint="eastAsia"/>
          <w:color w:val="000000"/>
          <w:sz w:val="30"/>
          <w:szCs w:val="30"/>
          <w:highlight w:val="yellow"/>
        </w:rPr>
        <w:t>报告期内，</w:t>
      </w:r>
      <w:r w:rsidR="0093231A" w:rsidRPr="003D6389">
        <w:rPr>
          <w:rFonts w:ascii="仿宋" w:eastAsia="仿宋" w:hAnsi="仿宋" w:cs="Times New Roman" w:hint="eastAsia"/>
          <w:color w:val="000000"/>
          <w:sz w:val="30"/>
          <w:szCs w:val="30"/>
          <w:highlight w:val="yellow"/>
        </w:rPr>
        <w:t>本行</w:t>
      </w:r>
    </w:p>
    <w:p w:rsidR="00FF2A1C" w:rsidRDefault="00236B06" w:rsidP="00137A7C">
      <w:pPr>
        <w:pStyle w:val="a7"/>
        <w:spacing w:before="0" w:beforeAutospacing="0" w:after="0" w:afterAutospacing="0" w:line="600" w:lineRule="exact"/>
        <w:jc w:val="both"/>
        <w:rPr>
          <w:rFonts w:ascii="仿宋" w:eastAsia="仿宋" w:hAnsi="仿宋"/>
          <w:color w:val="404040"/>
          <w:sz w:val="30"/>
          <w:szCs w:val="30"/>
        </w:rPr>
      </w:pPr>
      <w:r>
        <w:rPr>
          <w:rFonts w:hint="eastAsia"/>
          <w:color w:val="404040"/>
          <w:sz w:val="30"/>
          <w:szCs w:val="30"/>
        </w:rPr>
        <w:t> </w:t>
      </w:r>
    </w:p>
    <w:p w:rsidR="00FF2A1C" w:rsidRDefault="00236B06">
      <w:pPr>
        <w:pStyle w:val="a7"/>
        <w:spacing w:before="0" w:beforeAutospacing="0" w:after="0" w:afterAutospacing="0" w:line="600" w:lineRule="exact"/>
        <w:ind w:firstLineChars="200" w:firstLine="600"/>
        <w:rPr>
          <w:rFonts w:ascii="仿宋" w:eastAsia="仿宋" w:hAnsi="仿宋"/>
          <w:color w:val="404040"/>
          <w:sz w:val="30"/>
          <w:szCs w:val="30"/>
        </w:rPr>
      </w:pPr>
      <w:r>
        <w:rPr>
          <w:rFonts w:hint="eastAsia"/>
          <w:color w:val="404040"/>
          <w:sz w:val="30"/>
          <w:szCs w:val="30"/>
        </w:rPr>
        <w:t> </w:t>
      </w:r>
    </w:p>
    <w:p w:rsidR="00FF2A1C" w:rsidRDefault="00236B06">
      <w:pPr>
        <w:pStyle w:val="a7"/>
        <w:spacing w:before="0" w:beforeAutospacing="0" w:after="0" w:afterAutospacing="0" w:line="600" w:lineRule="exact"/>
        <w:ind w:firstLineChars="200" w:firstLine="600"/>
        <w:rPr>
          <w:rFonts w:ascii="仿宋" w:eastAsia="仿宋" w:hAnsi="仿宋"/>
          <w:color w:val="404040"/>
          <w:sz w:val="30"/>
          <w:szCs w:val="30"/>
        </w:rPr>
      </w:pPr>
      <w:r>
        <w:rPr>
          <w:rFonts w:hint="eastAsia"/>
          <w:color w:val="404040"/>
          <w:sz w:val="30"/>
          <w:szCs w:val="30"/>
        </w:rPr>
        <w:t> </w:t>
      </w:r>
    </w:p>
    <w:p w:rsidR="00FF2A1C" w:rsidRDefault="00236B06">
      <w:pPr>
        <w:pStyle w:val="a7"/>
        <w:spacing w:before="0" w:beforeAutospacing="0" w:after="0" w:afterAutospacing="0" w:line="600" w:lineRule="exact"/>
        <w:ind w:firstLineChars="200" w:firstLine="600"/>
        <w:jc w:val="right"/>
        <w:rPr>
          <w:rFonts w:ascii="仿宋" w:eastAsia="仿宋" w:hAnsi="仿宋"/>
          <w:color w:val="404040"/>
          <w:sz w:val="30"/>
          <w:szCs w:val="30"/>
        </w:rPr>
      </w:pPr>
      <w:r>
        <w:rPr>
          <w:rFonts w:ascii="仿宋" w:eastAsia="仿宋" w:hAnsi="仿宋" w:cs="Times New Roman" w:hint="eastAsia"/>
          <w:color w:val="000000"/>
          <w:sz w:val="30"/>
          <w:szCs w:val="30"/>
        </w:rPr>
        <w:t>临猗县新田村镇银行股份有限公司</w:t>
      </w:r>
    </w:p>
    <w:p w:rsidR="00FF2A1C" w:rsidRDefault="00236B06">
      <w:pPr>
        <w:pStyle w:val="a7"/>
        <w:spacing w:before="0" w:beforeAutospacing="0" w:after="0" w:afterAutospacing="0" w:line="600" w:lineRule="exact"/>
        <w:ind w:firstLineChars="200" w:firstLine="600"/>
        <w:jc w:val="right"/>
        <w:rPr>
          <w:rFonts w:ascii="仿宋" w:eastAsia="仿宋" w:hAnsi="仿宋" w:cs="Times New Roman"/>
          <w:color w:val="404040"/>
          <w:sz w:val="30"/>
          <w:szCs w:val="30"/>
        </w:rPr>
      </w:pPr>
      <w:r>
        <w:rPr>
          <w:rFonts w:ascii="仿宋" w:eastAsia="仿宋" w:hAnsi="仿宋" w:cs="Times New Roman"/>
          <w:color w:val="404040"/>
          <w:sz w:val="30"/>
          <w:szCs w:val="30"/>
        </w:rPr>
        <w:t xml:space="preserve">　　</w:t>
      </w:r>
    </w:p>
    <w:p w:rsidR="00FF2A1C" w:rsidRDefault="00236B06">
      <w:pPr>
        <w:pStyle w:val="a7"/>
        <w:spacing w:before="0" w:beforeAutospacing="0" w:after="0" w:afterAutospacing="0" w:line="600" w:lineRule="exact"/>
        <w:ind w:firstLineChars="200" w:firstLine="600"/>
        <w:jc w:val="right"/>
        <w:rPr>
          <w:rFonts w:ascii="仿宋" w:eastAsia="仿宋" w:hAnsi="仿宋"/>
          <w:sz w:val="30"/>
          <w:szCs w:val="30"/>
        </w:rPr>
      </w:pPr>
      <w:r>
        <w:rPr>
          <w:rFonts w:ascii="仿宋" w:eastAsia="仿宋" w:hAnsi="仿宋" w:cs="Times New Roman" w:hint="eastAsia"/>
          <w:color w:val="000000"/>
          <w:sz w:val="30"/>
          <w:szCs w:val="30"/>
        </w:rPr>
        <w:t>二0二一年十二月三十一日</w:t>
      </w:r>
    </w:p>
    <w:sectPr w:rsidR="00FF2A1C" w:rsidSect="00FF2A1C">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1C5" w:rsidRDefault="00AC61C5" w:rsidP="00FF2A1C">
      <w:pPr>
        <w:spacing w:after="0"/>
      </w:pPr>
      <w:r>
        <w:separator/>
      </w:r>
    </w:p>
  </w:endnote>
  <w:endnote w:type="continuationSeparator" w:id="1">
    <w:p w:rsidR="00AC61C5" w:rsidRDefault="00AC61C5" w:rsidP="00FF2A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1C5" w:rsidRDefault="00AC61C5">
      <w:pPr>
        <w:spacing w:after="0"/>
      </w:pPr>
      <w:r>
        <w:separator/>
      </w:r>
    </w:p>
  </w:footnote>
  <w:footnote w:type="continuationSeparator" w:id="1">
    <w:p w:rsidR="00AC61C5" w:rsidRDefault="00AC61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9458"/>
  </w:hdrShapeDefaults>
  <w:footnotePr>
    <w:footnote w:id="0"/>
    <w:footnote w:id="1"/>
  </w:footnotePr>
  <w:endnotePr>
    <w:endnote w:id="0"/>
    <w:endnote w:id="1"/>
  </w:endnotePr>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14E2D"/>
    <w:rsid w:val="00033005"/>
    <w:rsid w:val="00033118"/>
    <w:rsid w:val="000614C2"/>
    <w:rsid w:val="0008230C"/>
    <w:rsid w:val="000A7898"/>
    <w:rsid w:val="000C58C1"/>
    <w:rsid w:val="000E751E"/>
    <w:rsid w:val="000F6731"/>
    <w:rsid w:val="00125F9D"/>
    <w:rsid w:val="001275C9"/>
    <w:rsid w:val="00137A7C"/>
    <w:rsid w:val="00165E29"/>
    <w:rsid w:val="00174CCF"/>
    <w:rsid w:val="001946D6"/>
    <w:rsid w:val="001F06F2"/>
    <w:rsid w:val="001F3FC2"/>
    <w:rsid w:val="00202591"/>
    <w:rsid w:val="00211D61"/>
    <w:rsid w:val="002145E6"/>
    <w:rsid w:val="0022248D"/>
    <w:rsid w:val="00236B06"/>
    <w:rsid w:val="00246A6D"/>
    <w:rsid w:val="00280824"/>
    <w:rsid w:val="0029085C"/>
    <w:rsid w:val="00292987"/>
    <w:rsid w:val="002A07A5"/>
    <w:rsid w:val="002B1763"/>
    <w:rsid w:val="002C0BFD"/>
    <w:rsid w:val="002C193C"/>
    <w:rsid w:val="002D1A28"/>
    <w:rsid w:val="002D64DF"/>
    <w:rsid w:val="002E156A"/>
    <w:rsid w:val="002E5766"/>
    <w:rsid w:val="002E6E96"/>
    <w:rsid w:val="002F4ECA"/>
    <w:rsid w:val="002F76A0"/>
    <w:rsid w:val="00303AC2"/>
    <w:rsid w:val="00310407"/>
    <w:rsid w:val="0032148A"/>
    <w:rsid w:val="00323B43"/>
    <w:rsid w:val="00331E2E"/>
    <w:rsid w:val="003631ED"/>
    <w:rsid w:val="00373D4C"/>
    <w:rsid w:val="003806D5"/>
    <w:rsid w:val="00380CD6"/>
    <w:rsid w:val="00390428"/>
    <w:rsid w:val="003A74D3"/>
    <w:rsid w:val="003B0317"/>
    <w:rsid w:val="003B4E13"/>
    <w:rsid w:val="003C40FA"/>
    <w:rsid w:val="003D37D8"/>
    <w:rsid w:val="003D6389"/>
    <w:rsid w:val="003F1D10"/>
    <w:rsid w:val="003F6A29"/>
    <w:rsid w:val="00401988"/>
    <w:rsid w:val="00411068"/>
    <w:rsid w:val="00421B7F"/>
    <w:rsid w:val="00426133"/>
    <w:rsid w:val="004358AB"/>
    <w:rsid w:val="00467014"/>
    <w:rsid w:val="00474D12"/>
    <w:rsid w:val="0048781F"/>
    <w:rsid w:val="004946FC"/>
    <w:rsid w:val="004C4B1C"/>
    <w:rsid w:val="004E74E3"/>
    <w:rsid w:val="005075D1"/>
    <w:rsid w:val="00515AB9"/>
    <w:rsid w:val="00523042"/>
    <w:rsid w:val="005239B1"/>
    <w:rsid w:val="0053025C"/>
    <w:rsid w:val="0054146C"/>
    <w:rsid w:val="005424AD"/>
    <w:rsid w:val="005508A0"/>
    <w:rsid w:val="005A31FF"/>
    <w:rsid w:val="005B61E0"/>
    <w:rsid w:val="005C7ED6"/>
    <w:rsid w:val="005E4A5D"/>
    <w:rsid w:val="006134C6"/>
    <w:rsid w:val="00637865"/>
    <w:rsid w:val="00644165"/>
    <w:rsid w:val="0069454B"/>
    <w:rsid w:val="006A07D2"/>
    <w:rsid w:val="006B4CDD"/>
    <w:rsid w:val="006C1C1D"/>
    <w:rsid w:val="006C6740"/>
    <w:rsid w:val="006C7B4C"/>
    <w:rsid w:val="006D334D"/>
    <w:rsid w:val="006E3391"/>
    <w:rsid w:val="006F070B"/>
    <w:rsid w:val="00702414"/>
    <w:rsid w:val="00713EAF"/>
    <w:rsid w:val="00714B2C"/>
    <w:rsid w:val="00723A70"/>
    <w:rsid w:val="00732120"/>
    <w:rsid w:val="00740B62"/>
    <w:rsid w:val="00743E53"/>
    <w:rsid w:val="007A70D0"/>
    <w:rsid w:val="007C7DBE"/>
    <w:rsid w:val="007E4B18"/>
    <w:rsid w:val="007F1388"/>
    <w:rsid w:val="00802F77"/>
    <w:rsid w:val="00813916"/>
    <w:rsid w:val="00817D09"/>
    <w:rsid w:val="008261B1"/>
    <w:rsid w:val="00833416"/>
    <w:rsid w:val="00844AA1"/>
    <w:rsid w:val="00864404"/>
    <w:rsid w:val="00872307"/>
    <w:rsid w:val="00876795"/>
    <w:rsid w:val="008A0E5C"/>
    <w:rsid w:val="008A64C2"/>
    <w:rsid w:val="008B46BE"/>
    <w:rsid w:val="008B7726"/>
    <w:rsid w:val="008D3524"/>
    <w:rsid w:val="008F63FC"/>
    <w:rsid w:val="009006D9"/>
    <w:rsid w:val="0091290E"/>
    <w:rsid w:val="00912C88"/>
    <w:rsid w:val="0091463B"/>
    <w:rsid w:val="00915C20"/>
    <w:rsid w:val="0093231A"/>
    <w:rsid w:val="00936284"/>
    <w:rsid w:val="00965371"/>
    <w:rsid w:val="009947D7"/>
    <w:rsid w:val="00997F78"/>
    <w:rsid w:val="009B22F6"/>
    <w:rsid w:val="009B34FE"/>
    <w:rsid w:val="009C0982"/>
    <w:rsid w:val="009D533F"/>
    <w:rsid w:val="009F0981"/>
    <w:rsid w:val="00A0752D"/>
    <w:rsid w:val="00A44F65"/>
    <w:rsid w:val="00A508AC"/>
    <w:rsid w:val="00A552A1"/>
    <w:rsid w:val="00A95B83"/>
    <w:rsid w:val="00AA0C57"/>
    <w:rsid w:val="00AA1EF7"/>
    <w:rsid w:val="00AC61C5"/>
    <w:rsid w:val="00AF5158"/>
    <w:rsid w:val="00AF6B18"/>
    <w:rsid w:val="00B10934"/>
    <w:rsid w:val="00B13EFC"/>
    <w:rsid w:val="00B14A36"/>
    <w:rsid w:val="00B21E21"/>
    <w:rsid w:val="00B46830"/>
    <w:rsid w:val="00B53C72"/>
    <w:rsid w:val="00B5544E"/>
    <w:rsid w:val="00B84AA5"/>
    <w:rsid w:val="00B92024"/>
    <w:rsid w:val="00BA4FD0"/>
    <w:rsid w:val="00BB1DDC"/>
    <w:rsid w:val="00BC47AE"/>
    <w:rsid w:val="00BD0BAC"/>
    <w:rsid w:val="00BD4DE7"/>
    <w:rsid w:val="00BE5A59"/>
    <w:rsid w:val="00BE690E"/>
    <w:rsid w:val="00BF52B3"/>
    <w:rsid w:val="00BF5DB3"/>
    <w:rsid w:val="00BF6BF5"/>
    <w:rsid w:val="00C01777"/>
    <w:rsid w:val="00C01F2E"/>
    <w:rsid w:val="00C151BF"/>
    <w:rsid w:val="00C17D0E"/>
    <w:rsid w:val="00C25D68"/>
    <w:rsid w:val="00C6537F"/>
    <w:rsid w:val="00C662D7"/>
    <w:rsid w:val="00C8744B"/>
    <w:rsid w:val="00CD7D8B"/>
    <w:rsid w:val="00D011CF"/>
    <w:rsid w:val="00D25FB7"/>
    <w:rsid w:val="00D316A7"/>
    <w:rsid w:val="00D31D50"/>
    <w:rsid w:val="00D46AA6"/>
    <w:rsid w:val="00D553C4"/>
    <w:rsid w:val="00D5687D"/>
    <w:rsid w:val="00D65895"/>
    <w:rsid w:val="00D66855"/>
    <w:rsid w:val="00DC076E"/>
    <w:rsid w:val="00DC3CF1"/>
    <w:rsid w:val="00E27C2F"/>
    <w:rsid w:val="00E35EB3"/>
    <w:rsid w:val="00E44923"/>
    <w:rsid w:val="00E4780D"/>
    <w:rsid w:val="00E47FFA"/>
    <w:rsid w:val="00E5718F"/>
    <w:rsid w:val="00E62731"/>
    <w:rsid w:val="00EB09B7"/>
    <w:rsid w:val="00EB2E84"/>
    <w:rsid w:val="00EB5DC0"/>
    <w:rsid w:val="00EC62D6"/>
    <w:rsid w:val="00ED4C80"/>
    <w:rsid w:val="00EF77E3"/>
    <w:rsid w:val="00F040F3"/>
    <w:rsid w:val="00F07455"/>
    <w:rsid w:val="00F154C0"/>
    <w:rsid w:val="00F2704B"/>
    <w:rsid w:val="00F37E38"/>
    <w:rsid w:val="00F53F19"/>
    <w:rsid w:val="00F54045"/>
    <w:rsid w:val="00F80AD3"/>
    <w:rsid w:val="00F85AEE"/>
    <w:rsid w:val="00FA4624"/>
    <w:rsid w:val="00FA4EA5"/>
    <w:rsid w:val="00FB1FBB"/>
    <w:rsid w:val="00FB7BE0"/>
    <w:rsid w:val="00FB7C69"/>
    <w:rsid w:val="00FC4CE0"/>
    <w:rsid w:val="00FE365A"/>
    <w:rsid w:val="00FF2A1C"/>
    <w:rsid w:val="01F52ACA"/>
    <w:rsid w:val="028817A1"/>
    <w:rsid w:val="04C0227A"/>
    <w:rsid w:val="050F16AF"/>
    <w:rsid w:val="058F4A4A"/>
    <w:rsid w:val="05F06B7A"/>
    <w:rsid w:val="062A3132"/>
    <w:rsid w:val="06A40DE9"/>
    <w:rsid w:val="06B40E1E"/>
    <w:rsid w:val="06DC6EB0"/>
    <w:rsid w:val="070C1160"/>
    <w:rsid w:val="080138FA"/>
    <w:rsid w:val="08AA4FBD"/>
    <w:rsid w:val="08C700A5"/>
    <w:rsid w:val="092E5B43"/>
    <w:rsid w:val="09474CFA"/>
    <w:rsid w:val="0AE66395"/>
    <w:rsid w:val="0B2C5F03"/>
    <w:rsid w:val="0BEF406A"/>
    <w:rsid w:val="0C00589E"/>
    <w:rsid w:val="0CB76005"/>
    <w:rsid w:val="0E746FC2"/>
    <w:rsid w:val="0EDF6BB4"/>
    <w:rsid w:val="0EF87C52"/>
    <w:rsid w:val="0F6B4A95"/>
    <w:rsid w:val="1020312F"/>
    <w:rsid w:val="106D0AC4"/>
    <w:rsid w:val="13360D11"/>
    <w:rsid w:val="142F09D4"/>
    <w:rsid w:val="14D17664"/>
    <w:rsid w:val="14EC5320"/>
    <w:rsid w:val="1576200F"/>
    <w:rsid w:val="15FD587B"/>
    <w:rsid w:val="16382F4E"/>
    <w:rsid w:val="167963FE"/>
    <w:rsid w:val="16FB4441"/>
    <w:rsid w:val="175271D7"/>
    <w:rsid w:val="17AB2CE2"/>
    <w:rsid w:val="187A1902"/>
    <w:rsid w:val="18843E3F"/>
    <w:rsid w:val="19464B2E"/>
    <w:rsid w:val="19E43E7C"/>
    <w:rsid w:val="1A2D6B40"/>
    <w:rsid w:val="1B475EBA"/>
    <w:rsid w:val="1BAC363C"/>
    <w:rsid w:val="1C5F5EA3"/>
    <w:rsid w:val="1D794E45"/>
    <w:rsid w:val="1D8742C9"/>
    <w:rsid w:val="2073070D"/>
    <w:rsid w:val="214F03B6"/>
    <w:rsid w:val="21BD5715"/>
    <w:rsid w:val="21C13A9E"/>
    <w:rsid w:val="22D71C60"/>
    <w:rsid w:val="23B81BFC"/>
    <w:rsid w:val="23B87D45"/>
    <w:rsid w:val="23CE650A"/>
    <w:rsid w:val="255035DF"/>
    <w:rsid w:val="25B22185"/>
    <w:rsid w:val="25C96E0D"/>
    <w:rsid w:val="26AF7565"/>
    <w:rsid w:val="27BB49CC"/>
    <w:rsid w:val="280965BF"/>
    <w:rsid w:val="28D56F0D"/>
    <w:rsid w:val="28E40756"/>
    <w:rsid w:val="29292ACE"/>
    <w:rsid w:val="29CB7263"/>
    <w:rsid w:val="29D15A31"/>
    <w:rsid w:val="2BA106C8"/>
    <w:rsid w:val="2CCF32B2"/>
    <w:rsid w:val="2D624D64"/>
    <w:rsid w:val="2DDA53FB"/>
    <w:rsid w:val="2F493C70"/>
    <w:rsid w:val="2FE80711"/>
    <w:rsid w:val="3056666B"/>
    <w:rsid w:val="305D20B8"/>
    <w:rsid w:val="31E73E0A"/>
    <w:rsid w:val="3283548A"/>
    <w:rsid w:val="341A51A3"/>
    <w:rsid w:val="342351BC"/>
    <w:rsid w:val="3660307A"/>
    <w:rsid w:val="36C305A2"/>
    <w:rsid w:val="37CA2F18"/>
    <w:rsid w:val="38382662"/>
    <w:rsid w:val="389A69EB"/>
    <w:rsid w:val="3932495F"/>
    <w:rsid w:val="39AC66F4"/>
    <w:rsid w:val="3B70538B"/>
    <w:rsid w:val="3B8B45DE"/>
    <w:rsid w:val="3EDB5B90"/>
    <w:rsid w:val="3F2B4609"/>
    <w:rsid w:val="3F45639D"/>
    <w:rsid w:val="41CD4EF8"/>
    <w:rsid w:val="42F16958"/>
    <w:rsid w:val="43910D89"/>
    <w:rsid w:val="449A3135"/>
    <w:rsid w:val="449C7A28"/>
    <w:rsid w:val="449E6811"/>
    <w:rsid w:val="451E3F5A"/>
    <w:rsid w:val="45410255"/>
    <w:rsid w:val="46834862"/>
    <w:rsid w:val="46FB2771"/>
    <w:rsid w:val="47496025"/>
    <w:rsid w:val="47C32283"/>
    <w:rsid w:val="47CA333A"/>
    <w:rsid w:val="48320829"/>
    <w:rsid w:val="49206389"/>
    <w:rsid w:val="49206F8C"/>
    <w:rsid w:val="49623771"/>
    <w:rsid w:val="4DF30682"/>
    <w:rsid w:val="4F440CC1"/>
    <w:rsid w:val="4FED2A03"/>
    <w:rsid w:val="50D65987"/>
    <w:rsid w:val="52EA5511"/>
    <w:rsid w:val="536746F2"/>
    <w:rsid w:val="542F3AD8"/>
    <w:rsid w:val="554E38E7"/>
    <w:rsid w:val="56903063"/>
    <w:rsid w:val="56F54129"/>
    <w:rsid w:val="571A7928"/>
    <w:rsid w:val="57C12138"/>
    <w:rsid w:val="587A1377"/>
    <w:rsid w:val="58821711"/>
    <w:rsid w:val="588946EC"/>
    <w:rsid w:val="58B8609F"/>
    <w:rsid w:val="58C9309A"/>
    <w:rsid w:val="59503FE7"/>
    <w:rsid w:val="59E13E90"/>
    <w:rsid w:val="5A00456A"/>
    <w:rsid w:val="5A3F7E1A"/>
    <w:rsid w:val="5AEE580C"/>
    <w:rsid w:val="5B9B208E"/>
    <w:rsid w:val="5C720E3A"/>
    <w:rsid w:val="5D734A44"/>
    <w:rsid w:val="5F6C5B2E"/>
    <w:rsid w:val="605F4C26"/>
    <w:rsid w:val="60F16425"/>
    <w:rsid w:val="61091151"/>
    <w:rsid w:val="612721ED"/>
    <w:rsid w:val="61361787"/>
    <w:rsid w:val="61931AFF"/>
    <w:rsid w:val="61CE3AA2"/>
    <w:rsid w:val="61DB3B1D"/>
    <w:rsid w:val="62155816"/>
    <w:rsid w:val="630B0C35"/>
    <w:rsid w:val="642460B6"/>
    <w:rsid w:val="6504319D"/>
    <w:rsid w:val="67581432"/>
    <w:rsid w:val="676F59BF"/>
    <w:rsid w:val="67F91818"/>
    <w:rsid w:val="68161DAD"/>
    <w:rsid w:val="6A977CBC"/>
    <w:rsid w:val="6AB13EA0"/>
    <w:rsid w:val="6B7C7ABB"/>
    <w:rsid w:val="6C171F0F"/>
    <w:rsid w:val="6C2F14F5"/>
    <w:rsid w:val="6C3D2AD8"/>
    <w:rsid w:val="6C7D18EF"/>
    <w:rsid w:val="6CD2326A"/>
    <w:rsid w:val="6F752E8E"/>
    <w:rsid w:val="709A7575"/>
    <w:rsid w:val="71ED62B3"/>
    <w:rsid w:val="71F333E1"/>
    <w:rsid w:val="722E18C0"/>
    <w:rsid w:val="72576098"/>
    <w:rsid w:val="727B2DD0"/>
    <w:rsid w:val="72B9146A"/>
    <w:rsid w:val="755437AE"/>
    <w:rsid w:val="763937AD"/>
    <w:rsid w:val="7749295C"/>
    <w:rsid w:val="79550EFA"/>
    <w:rsid w:val="7BE14C47"/>
    <w:rsid w:val="7C5B2412"/>
    <w:rsid w:val="7D5052A6"/>
    <w:rsid w:val="7DAC414D"/>
    <w:rsid w:val="7E094583"/>
    <w:rsid w:val="7E1016F9"/>
    <w:rsid w:val="7EA2332E"/>
    <w:rsid w:val="7EDD15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Indent 2"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1C"/>
    <w:pPr>
      <w:adjustRightInd w:val="0"/>
      <w:snapToGrid w:val="0"/>
      <w:spacing w:after="200"/>
    </w:pPr>
    <w:rPr>
      <w:rFonts w:ascii="Tahoma" w:hAnsi="Tahoma" w:cs="黑体"/>
      <w:sz w:val="22"/>
      <w:szCs w:val="22"/>
    </w:rPr>
  </w:style>
  <w:style w:type="paragraph" w:styleId="1">
    <w:name w:val="heading 1"/>
    <w:basedOn w:val="a"/>
    <w:next w:val="a"/>
    <w:link w:val="1Char"/>
    <w:uiPriority w:val="9"/>
    <w:qFormat/>
    <w:rsid w:val="00FF2A1C"/>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FF2A1C"/>
    <w:pPr>
      <w:keepNext/>
      <w:keepLines/>
      <w:spacing w:before="260" w:after="260" w:line="416" w:lineRule="auto"/>
      <w:outlineLvl w:val="1"/>
    </w:pPr>
    <w:rPr>
      <w:rFonts w:ascii="Cambria" w:eastAsia="宋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FF2A1C"/>
    <w:pPr>
      <w:adjustRightInd/>
      <w:snapToGrid/>
      <w:spacing w:before="100" w:beforeAutospacing="1" w:after="100" w:afterAutospacing="1"/>
    </w:pPr>
    <w:rPr>
      <w:rFonts w:ascii="宋体" w:eastAsia="宋体" w:hAnsi="宋体" w:cs="宋体"/>
      <w:sz w:val="24"/>
      <w:szCs w:val="24"/>
    </w:rPr>
  </w:style>
  <w:style w:type="paragraph" w:styleId="a4">
    <w:name w:val="Plain Text"/>
    <w:basedOn w:val="a"/>
    <w:link w:val="Char0"/>
    <w:uiPriority w:val="99"/>
    <w:unhideWhenUsed/>
    <w:qFormat/>
    <w:rsid w:val="00FF2A1C"/>
    <w:pPr>
      <w:adjustRightInd/>
      <w:snapToGrid/>
      <w:spacing w:before="100" w:beforeAutospacing="1" w:after="100" w:afterAutospacing="1"/>
    </w:pPr>
    <w:rPr>
      <w:rFonts w:ascii="宋体" w:eastAsia="宋体" w:hAnsi="宋体" w:cs="宋体"/>
      <w:sz w:val="24"/>
      <w:szCs w:val="24"/>
    </w:rPr>
  </w:style>
  <w:style w:type="paragraph" w:styleId="20">
    <w:name w:val="Body Text Indent 2"/>
    <w:basedOn w:val="a"/>
    <w:link w:val="2Char0"/>
    <w:uiPriority w:val="99"/>
    <w:unhideWhenUsed/>
    <w:qFormat/>
    <w:rsid w:val="00FF2A1C"/>
    <w:pPr>
      <w:adjustRightInd/>
      <w:snapToGrid/>
      <w:spacing w:before="100" w:beforeAutospacing="1" w:after="100" w:afterAutospacing="1"/>
    </w:pPr>
    <w:rPr>
      <w:rFonts w:ascii="宋体" w:eastAsia="宋体" w:hAnsi="宋体" w:cs="宋体"/>
      <w:sz w:val="24"/>
      <w:szCs w:val="24"/>
    </w:rPr>
  </w:style>
  <w:style w:type="paragraph" w:styleId="a5">
    <w:name w:val="footer"/>
    <w:basedOn w:val="a"/>
    <w:link w:val="Char1"/>
    <w:uiPriority w:val="99"/>
    <w:unhideWhenUsed/>
    <w:qFormat/>
    <w:rsid w:val="00FF2A1C"/>
    <w:pPr>
      <w:tabs>
        <w:tab w:val="center" w:pos="4153"/>
        <w:tab w:val="right" w:pos="8306"/>
      </w:tabs>
    </w:pPr>
    <w:rPr>
      <w:sz w:val="18"/>
      <w:szCs w:val="18"/>
    </w:rPr>
  </w:style>
  <w:style w:type="paragraph" w:styleId="a6">
    <w:name w:val="header"/>
    <w:basedOn w:val="a"/>
    <w:link w:val="Char2"/>
    <w:uiPriority w:val="99"/>
    <w:unhideWhenUsed/>
    <w:qFormat/>
    <w:rsid w:val="00FF2A1C"/>
    <w:pPr>
      <w:pBdr>
        <w:bottom w:val="single" w:sz="6" w:space="1" w:color="auto"/>
      </w:pBdr>
      <w:tabs>
        <w:tab w:val="center" w:pos="4153"/>
        <w:tab w:val="right" w:pos="8306"/>
      </w:tabs>
      <w:jc w:val="center"/>
    </w:pPr>
    <w:rPr>
      <w:sz w:val="18"/>
      <w:szCs w:val="18"/>
    </w:rPr>
  </w:style>
  <w:style w:type="paragraph" w:styleId="a7">
    <w:name w:val="Normal (Web)"/>
    <w:basedOn w:val="a"/>
    <w:uiPriority w:val="99"/>
    <w:unhideWhenUsed/>
    <w:qFormat/>
    <w:rsid w:val="00FF2A1C"/>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FF2A1C"/>
    <w:rPr>
      <w:b/>
      <w:bCs/>
    </w:rPr>
  </w:style>
  <w:style w:type="character" w:customStyle="1" w:styleId="1Char">
    <w:name w:val="标题 1 Char"/>
    <w:basedOn w:val="a0"/>
    <w:link w:val="1"/>
    <w:uiPriority w:val="9"/>
    <w:qFormat/>
    <w:rsid w:val="00FF2A1C"/>
    <w:rPr>
      <w:rFonts w:ascii="宋体" w:eastAsia="宋体" w:hAnsi="宋体" w:cs="宋体"/>
      <w:b/>
      <w:bCs/>
      <w:kern w:val="36"/>
      <w:sz w:val="48"/>
      <w:szCs w:val="48"/>
    </w:rPr>
  </w:style>
  <w:style w:type="character" w:customStyle="1" w:styleId="2Char">
    <w:name w:val="标题 2 Char"/>
    <w:basedOn w:val="a0"/>
    <w:link w:val="2"/>
    <w:uiPriority w:val="9"/>
    <w:qFormat/>
    <w:rsid w:val="00FF2A1C"/>
    <w:rPr>
      <w:rFonts w:ascii="Cambria" w:eastAsia="宋体" w:hAnsi="Cambria" w:cs="黑体"/>
      <w:b/>
      <w:bCs/>
      <w:sz w:val="32"/>
      <w:szCs w:val="32"/>
    </w:rPr>
  </w:style>
  <w:style w:type="character" w:customStyle="1" w:styleId="2Char0">
    <w:name w:val="正文文本缩进 2 Char"/>
    <w:basedOn w:val="a0"/>
    <w:link w:val="20"/>
    <w:uiPriority w:val="99"/>
    <w:semiHidden/>
    <w:qFormat/>
    <w:rsid w:val="00FF2A1C"/>
    <w:rPr>
      <w:rFonts w:ascii="宋体" w:eastAsia="宋体" w:hAnsi="宋体" w:cs="宋体"/>
      <w:sz w:val="24"/>
      <w:szCs w:val="24"/>
    </w:rPr>
  </w:style>
  <w:style w:type="character" w:customStyle="1" w:styleId="Char">
    <w:name w:val="正文文本缩进 Char"/>
    <w:basedOn w:val="a0"/>
    <w:link w:val="a3"/>
    <w:uiPriority w:val="99"/>
    <w:semiHidden/>
    <w:qFormat/>
    <w:rsid w:val="00FF2A1C"/>
    <w:rPr>
      <w:rFonts w:ascii="宋体" w:eastAsia="宋体" w:hAnsi="宋体" w:cs="宋体"/>
      <w:sz w:val="24"/>
      <w:szCs w:val="24"/>
    </w:rPr>
  </w:style>
  <w:style w:type="character" w:customStyle="1" w:styleId="Char0">
    <w:name w:val="纯文本 Char"/>
    <w:basedOn w:val="a0"/>
    <w:link w:val="a4"/>
    <w:uiPriority w:val="99"/>
    <w:qFormat/>
    <w:rsid w:val="00FF2A1C"/>
    <w:rPr>
      <w:rFonts w:ascii="宋体" w:eastAsia="宋体" w:hAnsi="宋体" w:cs="宋体"/>
      <w:sz w:val="24"/>
      <w:szCs w:val="24"/>
    </w:rPr>
  </w:style>
  <w:style w:type="character" w:customStyle="1" w:styleId="apple-converted-space">
    <w:name w:val="apple-converted-space"/>
    <w:basedOn w:val="a0"/>
    <w:qFormat/>
    <w:rsid w:val="00FF2A1C"/>
  </w:style>
  <w:style w:type="character" w:customStyle="1" w:styleId="Char2">
    <w:name w:val="页眉 Char"/>
    <w:basedOn w:val="a0"/>
    <w:link w:val="a6"/>
    <w:uiPriority w:val="99"/>
    <w:semiHidden/>
    <w:qFormat/>
    <w:rsid w:val="00FF2A1C"/>
    <w:rPr>
      <w:rFonts w:ascii="Tahoma" w:hAnsi="Tahoma"/>
      <w:sz w:val="18"/>
      <w:szCs w:val="18"/>
    </w:rPr>
  </w:style>
  <w:style w:type="character" w:customStyle="1" w:styleId="Char1">
    <w:name w:val="页脚 Char"/>
    <w:basedOn w:val="a0"/>
    <w:link w:val="a5"/>
    <w:uiPriority w:val="99"/>
    <w:semiHidden/>
    <w:qFormat/>
    <w:rsid w:val="00FF2A1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34</Pages>
  <Words>2499</Words>
  <Characters>14247</Characters>
  <Application>Microsoft Office Word</Application>
  <DocSecurity>0</DocSecurity>
  <Lines>118</Lines>
  <Paragraphs>33</Paragraphs>
  <ScaleCrop>false</ScaleCrop>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临猗新田村镇银行股份有限公司</dc:title>
  <dc:creator>Lenovo</dc:creator>
  <cp:lastModifiedBy>lenovo</cp:lastModifiedBy>
  <cp:revision>116</cp:revision>
  <cp:lastPrinted>2022-05-16T10:07:00Z</cp:lastPrinted>
  <dcterms:created xsi:type="dcterms:W3CDTF">2008-09-11T17:20:00Z</dcterms:created>
  <dcterms:modified xsi:type="dcterms:W3CDTF">2022-07-04T01:13:00Z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5702B8EDF21049CBB5CFAFF6D20631CC</vt:lpwstr>
  </property>
</Properties>
</file>