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rPr>
        <w:t>临猗新田村镇银行2019年度信息披露</w:t>
      </w:r>
      <w:r>
        <w:rPr>
          <w:rFonts w:hint="eastAsia" w:ascii="黑体" w:hAnsi="黑体" w:eastAsia="黑体" w:cs="黑体"/>
          <w:sz w:val="44"/>
          <w:szCs w:val="44"/>
          <w:lang w:val="en-US" w:eastAsia="zh-CN"/>
        </w:rPr>
        <w:t>报告</w:t>
      </w:r>
    </w:p>
    <w:p>
      <w:pPr>
        <w:pStyle w:val="7"/>
        <w:spacing w:before="0" w:beforeAutospacing="0" w:after="0" w:afterAutospacing="0"/>
        <w:jc w:val="center"/>
        <w:rPr>
          <w:rFonts w:ascii="微软雅黑" w:hAnsi="微软雅黑" w:eastAsia="微软雅黑"/>
          <w:color w:val="404040"/>
          <w:sz w:val="15"/>
          <w:szCs w:val="15"/>
        </w:rPr>
      </w:pPr>
      <w:r>
        <w:rPr>
          <w:rFonts w:hint="eastAsia" w:ascii="微软雅黑" w:hAnsi="微软雅黑" w:eastAsia="微软雅黑"/>
          <w:color w:val="404040"/>
          <w:sz w:val="15"/>
          <w:szCs w:val="15"/>
        </w:rPr>
        <w:t> </w:t>
      </w:r>
    </w:p>
    <w:p>
      <w:pPr>
        <w:pStyle w:val="7"/>
        <w:spacing w:before="0" w:beforeAutospacing="0" w:after="0" w:afterAutospacing="0"/>
        <w:jc w:val="center"/>
        <w:rPr>
          <w:rFonts w:ascii="微软雅黑" w:hAnsi="微软雅黑" w:eastAsia="微软雅黑"/>
          <w:color w:val="404040"/>
          <w:sz w:val="15"/>
          <w:szCs w:val="15"/>
        </w:rPr>
      </w:pPr>
      <w:r>
        <w:rPr>
          <w:rStyle w:val="10"/>
          <w:rFonts w:hint="eastAsia" w:cs="Times New Roman"/>
          <w:color w:val="000000"/>
          <w:sz w:val="30"/>
          <w:szCs w:val="30"/>
        </w:rPr>
        <w:t>重要提示</w:t>
      </w:r>
    </w:p>
    <w:p>
      <w:pPr>
        <w:pStyle w:val="7"/>
        <w:spacing w:before="0" w:beforeAutospacing="0" w:after="0" w:afterAutospacing="0"/>
        <w:jc w:val="center"/>
        <w:rPr>
          <w:rFonts w:ascii="微软雅黑" w:hAnsi="微软雅黑" w:eastAsia="微软雅黑"/>
          <w:color w:val="404040"/>
          <w:sz w:val="15"/>
          <w:szCs w:val="15"/>
        </w:rPr>
      </w:pPr>
      <w:r>
        <w:rPr>
          <w:rFonts w:hint="eastAsia" w:ascii="微软雅黑" w:hAnsi="微软雅黑" w:eastAsia="微软雅黑"/>
          <w:color w:val="404040"/>
          <w:sz w:val="15"/>
          <w:szCs w:val="15"/>
        </w:rPr>
        <w:t> </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本行董事会、监事会及董事、监事、高级管理人员保证本报告所载资料不存在任何虚假记载、误导性陈述或者重大遗漏，并对其内容的真实性、准确性和完整性承担个别及连带责任。</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本行201</w:t>
      </w:r>
      <w:r>
        <w:rPr>
          <w:rFonts w:hint="eastAsia" w:ascii="仿宋" w:hAnsi="仿宋" w:eastAsia="仿宋" w:cs="仿宋"/>
          <w:color w:val="000000"/>
          <w:sz w:val="30"/>
          <w:szCs w:val="30"/>
          <w:lang w:val="en-US" w:eastAsia="zh-CN"/>
        </w:rPr>
        <w:t>9</w:t>
      </w:r>
      <w:r>
        <w:rPr>
          <w:rFonts w:hint="eastAsia" w:ascii="仿宋" w:hAnsi="仿宋" w:eastAsia="仿宋" w:cs="仿宋"/>
          <w:color w:val="000000"/>
          <w:sz w:val="30"/>
          <w:szCs w:val="30"/>
        </w:rPr>
        <w:t>年度财务报告已经由山西</w:t>
      </w:r>
      <w:r>
        <w:rPr>
          <w:rFonts w:hint="eastAsia" w:ascii="仿宋" w:hAnsi="仿宋" w:eastAsia="仿宋" w:cs="仿宋"/>
          <w:color w:val="000000"/>
          <w:sz w:val="30"/>
          <w:szCs w:val="30"/>
          <w:lang w:val="en-US" w:eastAsia="zh-CN"/>
        </w:rPr>
        <w:t>世信</w:t>
      </w:r>
      <w:r>
        <w:rPr>
          <w:rFonts w:hint="eastAsia" w:ascii="仿宋" w:hAnsi="仿宋" w:eastAsia="仿宋" w:cs="仿宋"/>
          <w:color w:val="000000"/>
          <w:sz w:val="30"/>
          <w:szCs w:val="30"/>
        </w:rPr>
        <w:t>会计事务所有限公司根据国内审计准则审计，并出具了标准无保留意见的审计报告。</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本行董事长范晓云、行长贾孟辉、财会负责人李丹</w:t>
      </w:r>
      <w:r>
        <w:rPr>
          <w:rFonts w:hint="eastAsia" w:ascii="仿宋" w:hAnsi="仿宋" w:eastAsia="仿宋" w:cs="仿宋"/>
          <w:color w:val="000000"/>
          <w:sz w:val="30"/>
          <w:szCs w:val="30"/>
          <w:lang w:val="en-US" w:eastAsia="zh-CN"/>
        </w:rPr>
        <w:t>证明</w:t>
      </w:r>
      <w:r>
        <w:rPr>
          <w:rFonts w:hint="eastAsia" w:ascii="仿宋" w:hAnsi="仿宋" w:eastAsia="仿宋" w:cs="仿宋"/>
          <w:color w:val="000000"/>
          <w:sz w:val="30"/>
          <w:szCs w:val="30"/>
        </w:rPr>
        <w:t>年度报告中财务报告的真实、完整。</w:t>
      </w:r>
    </w:p>
    <w:p>
      <w:pPr>
        <w:adjustRightInd/>
        <w:snapToGrid/>
        <w:spacing w:after="0" w:line="387" w:lineRule="atLeast"/>
        <w:jc w:val="center"/>
        <w:outlineLvl w:val="0"/>
        <w:rPr>
          <w:rFonts w:ascii="微软雅黑" w:hAnsi="微软雅黑" w:cs="宋体"/>
          <w:b/>
          <w:bCs/>
          <w:color w:val="404040"/>
          <w:kern w:val="36"/>
          <w:sz w:val="17"/>
          <w:szCs w:val="17"/>
        </w:rPr>
      </w:pPr>
      <w:bookmarkStart w:id="0" w:name="_Toc481079990"/>
      <w:r>
        <w:rPr>
          <w:rFonts w:hint="eastAsia" w:ascii="宋体" w:hAnsi="宋体" w:eastAsia="宋体" w:cs="宋体"/>
          <w:b/>
          <w:bCs/>
          <w:color w:val="000000"/>
          <w:kern w:val="36"/>
          <w:sz w:val="30"/>
        </w:rPr>
        <w:t>第一章　本行概况</w:t>
      </w:r>
      <w:bookmarkEnd w:id="0"/>
    </w:p>
    <w:p>
      <w:pPr>
        <w:adjustRightInd/>
        <w:snapToGrid/>
        <w:spacing w:after="0"/>
        <w:jc w:val="both"/>
        <w:rPr>
          <w:rFonts w:ascii="微软雅黑" w:hAnsi="微软雅黑" w:cs="宋体"/>
          <w:color w:val="404040"/>
          <w:sz w:val="15"/>
          <w:szCs w:val="15"/>
        </w:rPr>
      </w:pPr>
      <w:r>
        <w:rPr>
          <w:rFonts w:hint="eastAsia" w:ascii="微软雅黑" w:hAnsi="微软雅黑" w:cs="宋体"/>
          <w:color w:val="404040"/>
          <w:sz w:val="15"/>
          <w:szCs w:val="15"/>
        </w:rPr>
        <w:t> </w:t>
      </w:r>
    </w:p>
    <w:p>
      <w:pPr>
        <w:adjustRightInd/>
        <w:snapToGrid/>
        <w:spacing w:after="0"/>
        <w:jc w:val="both"/>
        <w:rPr>
          <w:rFonts w:hint="eastAsia" w:ascii="仿宋" w:hAnsi="仿宋" w:eastAsia="仿宋" w:cs="仿宋"/>
          <w:color w:val="404040"/>
          <w:sz w:val="30"/>
          <w:szCs w:val="30"/>
        </w:rPr>
      </w:pPr>
      <w:r>
        <w:rPr>
          <w:rFonts w:hint="eastAsia" w:ascii="仿宋" w:hAnsi="仿宋" w:eastAsia="仿宋" w:cs="仿宋"/>
          <w:b/>
          <w:bCs/>
          <w:color w:val="000000"/>
          <w:sz w:val="30"/>
          <w:szCs w:val="30"/>
        </w:rPr>
        <w:t>一、本行注册名称：临猗县新田村镇股份有限公司</w:t>
      </w:r>
    </w:p>
    <w:p>
      <w:pPr>
        <w:adjustRightInd/>
        <w:snapToGrid/>
        <w:spacing w:after="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本行英文名称：LinYi County XinTian Village Bank Co</w:t>
      </w:r>
    </w:p>
    <w:p>
      <w:pPr>
        <w:adjustRightInd/>
        <w:snapToGrid/>
        <w:spacing w:after="0"/>
        <w:jc w:val="both"/>
        <w:rPr>
          <w:rFonts w:hint="eastAsia" w:ascii="仿宋" w:hAnsi="仿宋" w:eastAsia="仿宋" w:cs="仿宋"/>
          <w:color w:val="404040"/>
          <w:sz w:val="30"/>
          <w:szCs w:val="30"/>
        </w:rPr>
      </w:pPr>
      <w:r>
        <w:rPr>
          <w:rFonts w:hint="eastAsia" w:ascii="仿宋" w:hAnsi="仿宋" w:eastAsia="仿宋" w:cs="仿宋"/>
          <w:b/>
          <w:bCs/>
          <w:color w:val="000000"/>
          <w:sz w:val="30"/>
          <w:szCs w:val="30"/>
        </w:rPr>
        <w:t>二、本法定代表人：</w:t>
      </w:r>
      <w:r>
        <w:rPr>
          <w:rFonts w:hint="eastAsia" w:ascii="仿宋" w:hAnsi="仿宋" w:eastAsia="仿宋" w:cs="仿宋"/>
          <w:color w:val="000000"/>
          <w:sz w:val="30"/>
          <w:szCs w:val="30"/>
        </w:rPr>
        <w:t>范晓云</w:t>
      </w:r>
    </w:p>
    <w:p>
      <w:pPr>
        <w:adjustRightInd/>
        <w:snapToGrid/>
        <w:spacing w:after="0"/>
        <w:jc w:val="both"/>
        <w:rPr>
          <w:rFonts w:hint="eastAsia" w:ascii="仿宋" w:hAnsi="仿宋" w:eastAsia="仿宋" w:cs="仿宋"/>
          <w:color w:val="404040"/>
          <w:sz w:val="30"/>
          <w:szCs w:val="30"/>
        </w:rPr>
      </w:pPr>
      <w:r>
        <w:rPr>
          <w:rFonts w:hint="eastAsia" w:ascii="仿宋" w:hAnsi="仿宋" w:eastAsia="仿宋" w:cs="仿宋"/>
          <w:b/>
          <w:bCs/>
          <w:color w:val="000000"/>
          <w:sz w:val="30"/>
          <w:szCs w:val="30"/>
        </w:rPr>
        <w:t>三、本行注册地址及办公地址：</w:t>
      </w:r>
      <w:r>
        <w:rPr>
          <w:rFonts w:hint="eastAsia" w:ascii="仿宋" w:hAnsi="仿宋" w:eastAsia="仿宋" w:cs="仿宋"/>
          <w:color w:val="000000"/>
          <w:sz w:val="30"/>
          <w:szCs w:val="30"/>
        </w:rPr>
        <w:t>山西省临猗县南环东街518号</w:t>
      </w:r>
    </w:p>
    <w:p>
      <w:pPr>
        <w:adjustRightInd/>
        <w:snapToGrid/>
        <w:spacing w:after="0"/>
        <w:jc w:val="both"/>
        <w:rPr>
          <w:rFonts w:hint="eastAsia" w:ascii="仿宋" w:hAnsi="仿宋" w:eastAsia="仿宋" w:cs="仿宋"/>
          <w:color w:val="404040"/>
          <w:sz w:val="30"/>
          <w:szCs w:val="30"/>
        </w:rPr>
      </w:pPr>
      <w:r>
        <w:rPr>
          <w:rFonts w:hint="eastAsia" w:ascii="仿宋" w:hAnsi="仿宋" w:eastAsia="仿宋" w:cs="仿宋"/>
          <w:color w:val="000000"/>
          <w:sz w:val="30"/>
          <w:szCs w:val="30"/>
        </w:rPr>
        <w:t>邮政编码：044100</w:t>
      </w:r>
    </w:p>
    <w:p>
      <w:pPr>
        <w:adjustRightInd/>
        <w:snapToGrid/>
        <w:spacing w:after="0"/>
        <w:jc w:val="both"/>
        <w:rPr>
          <w:rFonts w:hint="eastAsia" w:ascii="仿宋" w:hAnsi="仿宋" w:eastAsia="仿宋" w:cs="仿宋"/>
          <w:color w:val="404040"/>
          <w:sz w:val="30"/>
          <w:szCs w:val="30"/>
        </w:rPr>
      </w:pPr>
      <w:r>
        <w:rPr>
          <w:rFonts w:hint="eastAsia" w:ascii="仿宋" w:hAnsi="仿宋" w:eastAsia="仿宋" w:cs="仿宋"/>
          <w:b/>
          <w:bCs/>
          <w:color w:val="000000"/>
          <w:sz w:val="30"/>
          <w:szCs w:val="30"/>
        </w:rPr>
        <w:t>四、本行选定的信息披露方式：</w:t>
      </w:r>
    </w:p>
    <w:p>
      <w:pPr>
        <w:adjustRightInd/>
        <w:snapToGrid/>
        <w:spacing w:after="0"/>
        <w:jc w:val="both"/>
        <w:rPr>
          <w:rFonts w:hint="eastAsia" w:ascii="仿宋" w:hAnsi="仿宋" w:eastAsia="仿宋" w:cs="仿宋"/>
          <w:color w:val="404040"/>
          <w:sz w:val="30"/>
          <w:szCs w:val="30"/>
        </w:rPr>
      </w:pPr>
      <w:r>
        <w:rPr>
          <w:rFonts w:hint="eastAsia" w:ascii="仿宋" w:hAnsi="仿宋" w:eastAsia="仿宋" w:cs="仿宋"/>
          <w:color w:val="000000"/>
          <w:sz w:val="30"/>
          <w:szCs w:val="30"/>
        </w:rPr>
        <w:t>年度报告备置地点：本行办公室及主要营业场所</w:t>
      </w:r>
    </w:p>
    <w:p>
      <w:pPr>
        <w:adjustRightInd/>
        <w:snapToGrid/>
        <w:spacing w:after="0"/>
        <w:jc w:val="both"/>
        <w:rPr>
          <w:rFonts w:hint="eastAsia" w:ascii="仿宋" w:hAnsi="仿宋" w:eastAsia="仿宋" w:cs="仿宋"/>
          <w:color w:val="000000"/>
          <w:sz w:val="30"/>
          <w:szCs w:val="30"/>
        </w:rPr>
      </w:pPr>
      <w:r>
        <w:rPr>
          <w:rFonts w:hint="eastAsia" w:ascii="仿宋" w:hAnsi="仿宋" w:eastAsia="仿宋" w:cs="仿宋"/>
          <w:color w:val="000000"/>
          <w:sz w:val="30"/>
          <w:szCs w:val="30"/>
        </w:rPr>
        <w:t>信息披露事务联系人：李少杰</w:t>
      </w:r>
    </w:p>
    <w:p>
      <w:pPr>
        <w:adjustRightInd/>
        <w:snapToGrid/>
        <w:spacing w:after="0"/>
        <w:jc w:val="both"/>
        <w:rPr>
          <w:rFonts w:hint="eastAsia" w:ascii="仿宋" w:hAnsi="仿宋" w:eastAsia="仿宋" w:cs="仿宋"/>
          <w:color w:val="000000"/>
          <w:sz w:val="30"/>
          <w:szCs w:val="30"/>
        </w:rPr>
      </w:pPr>
      <w:r>
        <w:rPr>
          <w:rFonts w:hint="eastAsia" w:ascii="仿宋" w:hAnsi="仿宋" w:eastAsia="仿宋" w:cs="仿宋"/>
          <w:color w:val="000000"/>
          <w:sz w:val="30"/>
          <w:szCs w:val="30"/>
        </w:rPr>
        <w:t>联系电话（传真）：0359-8831222</w:t>
      </w:r>
    </w:p>
    <w:p>
      <w:pPr>
        <w:adjustRightInd/>
        <w:snapToGrid/>
        <w:spacing w:after="0"/>
        <w:jc w:val="both"/>
        <w:rPr>
          <w:rFonts w:hint="eastAsia" w:ascii="仿宋" w:hAnsi="仿宋" w:eastAsia="仿宋" w:cs="仿宋"/>
          <w:color w:val="404040"/>
          <w:sz w:val="30"/>
          <w:szCs w:val="30"/>
        </w:rPr>
      </w:pPr>
      <w:r>
        <w:rPr>
          <w:rFonts w:hint="eastAsia" w:ascii="仿宋" w:hAnsi="仿宋" w:eastAsia="仿宋" w:cs="仿宋"/>
          <w:color w:val="000000"/>
          <w:sz w:val="30"/>
          <w:szCs w:val="30"/>
        </w:rPr>
        <w:t>电子邮箱：lyxtczyh@163.com</w:t>
      </w:r>
    </w:p>
    <w:p>
      <w:pPr>
        <w:adjustRightInd/>
        <w:snapToGrid/>
        <w:spacing w:after="0"/>
        <w:jc w:val="both"/>
        <w:rPr>
          <w:rFonts w:hint="eastAsia" w:ascii="仿宋" w:hAnsi="仿宋" w:eastAsia="仿宋" w:cs="仿宋"/>
          <w:color w:val="404040"/>
          <w:sz w:val="30"/>
          <w:szCs w:val="30"/>
        </w:rPr>
      </w:pPr>
      <w:r>
        <w:rPr>
          <w:rFonts w:hint="eastAsia" w:ascii="仿宋" w:hAnsi="仿宋" w:eastAsia="仿宋" w:cs="仿宋"/>
          <w:b/>
          <w:bCs/>
          <w:color w:val="000000"/>
          <w:sz w:val="30"/>
          <w:szCs w:val="30"/>
        </w:rPr>
        <w:t>五、其他有关信息：</w:t>
      </w:r>
    </w:p>
    <w:p>
      <w:pPr>
        <w:adjustRightInd/>
        <w:snapToGrid/>
        <w:spacing w:after="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本行经银监会批准成立日期：2014年11月28日</w:t>
      </w:r>
    </w:p>
    <w:p>
      <w:pPr>
        <w:adjustRightInd/>
        <w:snapToGrid/>
        <w:spacing w:after="0"/>
        <w:jc w:val="both"/>
        <w:rPr>
          <w:rFonts w:hint="eastAsia" w:ascii="仿宋" w:hAnsi="仿宋" w:eastAsia="仿宋" w:cs="仿宋"/>
          <w:color w:val="404040"/>
          <w:sz w:val="30"/>
          <w:szCs w:val="30"/>
        </w:rPr>
      </w:pPr>
      <w:r>
        <w:rPr>
          <w:rFonts w:hint="eastAsia" w:ascii="仿宋" w:hAnsi="仿宋" w:eastAsia="仿宋" w:cs="仿宋"/>
          <w:color w:val="000000"/>
          <w:sz w:val="30"/>
          <w:szCs w:val="30"/>
        </w:rPr>
        <w:t>金融许可证机构编码：S0044H314080001</w:t>
      </w:r>
    </w:p>
    <w:p>
      <w:pPr>
        <w:adjustRightInd/>
        <w:snapToGrid/>
        <w:spacing w:after="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本行注册登记日期：2014年12月11日</w:t>
      </w:r>
    </w:p>
    <w:p>
      <w:pPr>
        <w:adjustRightInd/>
        <w:snapToGrid/>
        <w:spacing w:after="0"/>
        <w:jc w:val="both"/>
        <w:rPr>
          <w:rFonts w:hint="eastAsia" w:ascii="仿宋" w:hAnsi="仿宋" w:eastAsia="仿宋" w:cs="仿宋"/>
          <w:color w:val="404040"/>
          <w:sz w:val="30"/>
          <w:szCs w:val="30"/>
        </w:rPr>
      </w:pPr>
      <w:r>
        <w:rPr>
          <w:rFonts w:hint="eastAsia" w:ascii="仿宋" w:hAnsi="仿宋" w:eastAsia="仿宋" w:cs="仿宋"/>
          <w:color w:val="000000"/>
          <w:sz w:val="30"/>
          <w:szCs w:val="30"/>
        </w:rPr>
        <w:t>登记地点：中国银行业监督管理委员会运城监管分局</w:t>
      </w:r>
    </w:p>
    <w:p>
      <w:pPr>
        <w:adjustRightInd/>
        <w:snapToGrid/>
        <w:spacing w:after="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本行经济性质：股份有限公司</w:t>
      </w:r>
    </w:p>
    <w:p>
      <w:pPr>
        <w:adjustRightInd/>
        <w:snapToGrid/>
        <w:spacing w:after="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本行注册资金：人民币6000万元</w:t>
      </w:r>
    </w:p>
    <w:p>
      <w:pPr>
        <w:adjustRightInd/>
        <w:snapToGrid/>
        <w:spacing w:after="0"/>
        <w:jc w:val="both"/>
        <w:rPr>
          <w:rFonts w:hint="eastAsia" w:ascii="仿宋" w:hAnsi="仿宋" w:eastAsia="仿宋" w:cs="仿宋"/>
          <w:color w:val="404040"/>
          <w:sz w:val="30"/>
          <w:szCs w:val="30"/>
        </w:rPr>
      </w:pPr>
      <w:r>
        <w:rPr>
          <w:rFonts w:hint="eastAsia" w:ascii="仿宋" w:hAnsi="仿宋" w:eastAsia="仿宋" w:cs="仿宋"/>
          <w:color w:val="000000"/>
          <w:sz w:val="30"/>
          <w:szCs w:val="30"/>
        </w:rPr>
        <w:t>企业法人营业执照统一社会信用代码：9114080031718491XY</w:t>
      </w:r>
    </w:p>
    <w:p>
      <w:pPr>
        <w:adjustRightInd/>
        <w:snapToGrid/>
        <w:spacing w:after="0"/>
        <w:jc w:val="both"/>
        <w:rPr>
          <w:rStyle w:val="10"/>
          <w:b/>
          <w:bCs/>
          <w:color w:val="000000"/>
          <w:sz w:val="30"/>
          <w:szCs w:val="30"/>
        </w:rPr>
      </w:pPr>
      <w:r>
        <w:rPr>
          <w:rFonts w:hint="eastAsia" w:ascii="仿宋" w:hAnsi="仿宋" w:eastAsia="仿宋" w:cs="仿宋"/>
          <w:b/>
          <w:bCs/>
          <w:color w:val="000000"/>
          <w:sz w:val="30"/>
          <w:szCs w:val="30"/>
        </w:rPr>
        <w:t>六、本行经营范围：</w:t>
      </w:r>
      <w:bookmarkStart w:id="1" w:name="_Toc193883015"/>
      <w:r>
        <w:rPr>
          <w:rFonts w:hint="eastAsia" w:ascii="仿宋" w:hAnsi="仿宋" w:eastAsia="仿宋" w:cs="仿宋"/>
          <w:color w:val="000000"/>
          <w:sz w:val="30"/>
          <w:szCs w:val="30"/>
        </w:rPr>
        <w:t>吸收公众存款；发放短期、中期和长期贷款；办理国内结算；办理票据承兑与贴现；从事同业拆借；代理发行、代理兑付、承销政府债券；从事银行卡（借记卡）业务；经银行业监督管理机构批准的其他业务。</w:t>
      </w:r>
      <w:bookmarkEnd w:id="1"/>
      <w:r>
        <w:rPr>
          <w:rFonts w:hint="eastAsia" w:ascii="仿宋" w:hAnsi="仿宋" w:eastAsia="仿宋" w:cs="仿宋"/>
          <w:color w:val="000000"/>
          <w:sz w:val="30"/>
          <w:szCs w:val="30"/>
        </w:rPr>
        <w:t>（依法须经批准的项目，经相关部门批准后方可开展经营活动）</w:t>
      </w:r>
      <w:bookmarkStart w:id="2" w:name="_Toc481079991"/>
    </w:p>
    <w:p>
      <w:pPr>
        <w:pStyle w:val="2"/>
        <w:spacing w:before="0" w:beforeAutospacing="0" w:after="0" w:afterAutospacing="0" w:line="387" w:lineRule="atLeast"/>
        <w:jc w:val="center"/>
        <w:rPr>
          <w:rFonts w:ascii="微软雅黑" w:hAnsi="微软雅黑" w:eastAsia="微软雅黑"/>
          <w:color w:val="404040"/>
          <w:sz w:val="17"/>
          <w:szCs w:val="17"/>
        </w:rPr>
      </w:pPr>
      <w:r>
        <w:rPr>
          <w:rStyle w:val="10"/>
          <w:rFonts w:hint="eastAsia"/>
          <w:b/>
          <w:bCs/>
          <w:color w:val="000000"/>
          <w:sz w:val="30"/>
          <w:szCs w:val="30"/>
        </w:rPr>
        <w:t>第二章　经营概况</w:t>
      </w:r>
      <w:bookmarkEnd w:id="2"/>
      <w:bookmarkStart w:id="3" w:name="_Toc193883016"/>
      <w:bookmarkEnd w:id="3"/>
      <w:bookmarkStart w:id="4" w:name="_Toc227401501"/>
      <w:bookmarkEnd w:id="4"/>
    </w:p>
    <w:p>
      <w:pPr>
        <w:pStyle w:val="7"/>
        <w:spacing w:before="0" w:beforeAutospacing="0" w:after="0" w:afterAutospacing="0"/>
        <w:jc w:val="both"/>
        <w:rPr>
          <w:rFonts w:ascii="微软雅黑" w:hAnsi="微软雅黑" w:eastAsia="微软雅黑"/>
          <w:color w:val="404040"/>
          <w:sz w:val="15"/>
          <w:szCs w:val="15"/>
        </w:rPr>
      </w:pPr>
      <w:r>
        <w:rPr>
          <w:rFonts w:hint="eastAsia" w:ascii="微软雅黑" w:hAnsi="微软雅黑" w:eastAsia="微软雅黑"/>
          <w:color w:val="404040"/>
          <w:sz w:val="15"/>
          <w:szCs w:val="15"/>
        </w:rPr>
        <w:t> </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highlight w:val="none"/>
          <w:lang w:val="en-US" w:eastAsia="zh-CN"/>
        </w:rPr>
        <w:t>2019</w:t>
      </w:r>
      <w:r>
        <w:rPr>
          <w:rFonts w:hint="eastAsia" w:ascii="仿宋" w:hAnsi="仿宋" w:eastAsia="仿宋" w:cs="仿宋"/>
          <w:color w:val="000000"/>
          <w:sz w:val="30"/>
          <w:szCs w:val="30"/>
          <w:highlight w:val="none"/>
        </w:rPr>
        <w:t>年</w:t>
      </w:r>
      <w:r>
        <w:rPr>
          <w:rFonts w:hint="eastAsia" w:ascii="仿宋" w:hAnsi="仿宋" w:eastAsia="仿宋" w:cs="仿宋"/>
          <w:color w:val="000000"/>
          <w:sz w:val="30"/>
          <w:szCs w:val="30"/>
        </w:rPr>
        <w:t>，面对经济下行，本行紧紧围绕董事会的决策部署，坚持以业务发展为中心，强化内部经营管理，狠抓规章制度的贯彻落实，确保本行各项业务活动的健康、稳健、安全运行。</w:t>
      </w:r>
    </w:p>
    <w:p>
      <w:pPr>
        <w:pStyle w:val="7"/>
        <w:spacing w:before="0" w:beforeAutospacing="0" w:after="0" w:afterAutospacing="0"/>
        <w:jc w:val="both"/>
        <w:rPr>
          <w:rFonts w:hint="eastAsia" w:ascii="仿宋" w:hAnsi="仿宋" w:eastAsia="仿宋" w:cs="仿宋"/>
          <w:color w:val="404040"/>
          <w:sz w:val="30"/>
          <w:szCs w:val="30"/>
          <w:highlight w:val="none"/>
        </w:rPr>
      </w:pP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highlight w:val="none"/>
        </w:rPr>
        <w:t>截至201</w:t>
      </w:r>
      <w:r>
        <w:rPr>
          <w:rFonts w:hint="eastAsia" w:ascii="仿宋" w:hAnsi="仿宋" w:eastAsia="仿宋" w:cs="仿宋"/>
          <w:color w:val="000000"/>
          <w:sz w:val="30"/>
          <w:szCs w:val="30"/>
          <w:highlight w:val="none"/>
          <w:lang w:val="en-US" w:eastAsia="zh-CN"/>
        </w:rPr>
        <w:t>9</w:t>
      </w:r>
      <w:r>
        <w:rPr>
          <w:rFonts w:hint="eastAsia" w:ascii="仿宋" w:hAnsi="仿宋" w:eastAsia="仿宋" w:cs="仿宋"/>
          <w:color w:val="000000"/>
          <w:sz w:val="30"/>
          <w:szCs w:val="30"/>
          <w:highlight w:val="none"/>
        </w:rPr>
        <w:t>年末，本行资产总额为</w:t>
      </w:r>
      <w:r>
        <w:rPr>
          <w:rFonts w:hint="eastAsia" w:ascii="仿宋" w:hAnsi="仿宋" w:eastAsia="仿宋" w:cs="仿宋"/>
          <w:color w:val="000000"/>
          <w:sz w:val="30"/>
          <w:szCs w:val="30"/>
          <w:highlight w:val="none"/>
          <w:lang w:val="en-US" w:eastAsia="zh-CN"/>
        </w:rPr>
        <w:t>38652.32</w:t>
      </w:r>
      <w:r>
        <w:rPr>
          <w:rFonts w:hint="eastAsia" w:ascii="仿宋" w:hAnsi="仿宋" w:eastAsia="仿宋" w:cs="仿宋"/>
          <w:color w:val="000000"/>
          <w:sz w:val="30"/>
          <w:szCs w:val="30"/>
          <w:highlight w:val="none"/>
        </w:rPr>
        <w:t>万元，比年初增长</w:t>
      </w:r>
      <w:r>
        <w:rPr>
          <w:rFonts w:hint="eastAsia" w:ascii="仿宋" w:hAnsi="仿宋" w:eastAsia="仿宋" w:cs="仿宋"/>
          <w:color w:val="000000"/>
          <w:sz w:val="30"/>
          <w:szCs w:val="30"/>
          <w:highlight w:val="none"/>
          <w:lang w:val="en-US" w:eastAsia="zh-CN"/>
        </w:rPr>
        <w:t>16.69</w:t>
      </w: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eastAsia="zh-CN"/>
        </w:rPr>
        <w:t>；</w:t>
      </w:r>
      <w:r>
        <w:rPr>
          <w:rFonts w:hint="eastAsia" w:ascii="仿宋" w:hAnsi="仿宋" w:eastAsia="仿宋" w:cs="仿宋"/>
          <w:color w:val="000000"/>
          <w:sz w:val="30"/>
          <w:szCs w:val="30"/>
          <w:highlight w:val="none"/>
        </w:rPr>
        <w:t>负债总额为</w:t>
      </w:r>
      <w:r>
        <w:rPr>
          <w:rFonts w:hint="eastAsia" w:ascii="仿宋" w:hAnsi="仿宋" w:eastAsia="仿宋" w:cs="仿宋"/>
          <w:color w:val="000000"/>
          <w:sz w:val="30"/>
          <w:szCs w:val="30"/>
          <w:highlight w:val="none"/>
          <w:lang w:val="en-US" w:eastAsia="zh-CN"/>
        </w:rPr>
        <w:t>32355.06</w:t>
      </w:r>
      <w:r>
        <w:rPr>
          <w:rFonts w:hint="eastAsia" w:ascii="仿宋" w:hAnsi="仿宋" w:eastAsia="仿宋" w:cs="仿宋"/>
          <w:color w:val="000000"/>
          <w:sz w:val="30"/>
          <w:szCs w:val="30"/>
          <w:highlight w:val="none"/>
        </w:rPr>
        <w:t>万元，比年初增长</w:t>
      </w:r>
      <w:r>
        <w:rPr>
          <w:rFonts w:hint="eastAsia" w:ascii="仿宋" w:hAnsi="仿宋" w:eastAsia="仿宋" w:cs="仿宋"/>
          <w:color w:val="000000"/>
          <w:sz w:val="30"/>
          <w:szCs w:val="30"/>
          <w:highlight w:val="none"/>
          <w:lang w:val="en-US" w:eastAsia="zh-CN"/>
        </w:rPr>
        <w:t>22.18</w:t>
      </w:r>
      <w:r>
        <w:rPr>
          <w:rFonts w:hint="eastAsia" w:ascii="仿宋" w:hAnsi="仿宋" w:eastAsia="仿宋" w:cs="仿宋"/>
          <w:color w:val="000000"/>
          <w:sz w:val="30"/>
          <w:szCs w:val="30"/>
          <w:highlight w:val="none"/>
        </w:rPr>
        <w:t>%；所有者权益为6199.93万元，实现净利润</w:t>
      </w:r>
      <w:r>
        <w:rPr>
          <w:rFonts w:hint="eastAsia" w:ascii="仿宋" w:hAnsi="仿宋" w:eastAsia="仿宋" w:cs="仿宋"/>
          <w:color w:val="000000"/>
          <w:sz w:val="30"/>
          <w:szCs w:val="30"/>
          <w:highlight w:val="none"/>
          <w:lang w:val="en-US" w:eastAsia="zh-CN"/>
        </w:rPr>
        <w:t>195.35</w:t>
      </w:r>
      <w:r>
        <w:rPr>
          <w:rFonts w:hint="eastAsia" w:ascii="仿宋" w:hAnsi="仿宋" w:eastAsia="仿宋" w:cs="仿宋"/>
          <w:color w:val="000000"/>
          <w:sz w:val="30"/>
          <w:szCs w:val="30"/>
          <w:highlight w:val="none"/>
        </w:rPr>
        <w:t>万元，全年上缴税金</w:t>
      </w:r>
      <w:r>
        <w:rPr>
          <w:rFonts w:hint="eastAsia" w:ascii="仿宋" w:hAnsi="仿宋" w:eastAsia="仿宋" w:cs="仿宋"/>
          <w:color w:val="000000"/>
          <w:sz w:val="30"/>
          <w:szCs w:val="30"/>
          <w:highlight w:val="none"/>
          <w:lang w:val="en-US" w:eastAsia="zh-CN"/>
        </w:rPr>
        <w:t>89.40</w:t>
      </w:r>
      <w:r>
        <w:rPr>
          <w:rFonts w:hint="eastAsia" w:ascii="仿宋" w:hAnsi="仿宋" w:eastAsia="仿宋" w:cs="仿宋"/>
          <w:color w:val="000000"/>
          <w:sz w:val="30"/>
          <w:szCs w:val="30"/>
          <w:highlight w:val="none"/>
        </w:rPr>
        <w:t>万元。资产利润率为0.</w:t>
      </w:r>
      <w:r>
        <w:rPr>
          <w:rFonts w:hint="eastAsia" w:ascii="仿宋" w:hAnsi="仿宋" w:eastAsia="仿宋" w:cs="仿宋"/>
          <w:color w:val="000000"/>
          <w:sz w:val="30"/>
          <w:szCs w:val="30"/>
          <w:highlight w:val="none"/>
          <w:lang w:val="en-US" w:eastAsia="zh-CN"/>
        </w:rPr>
        <w:t>54</w:t>
      </w:r>
      <w:r>
        <w:rPr>
          <w:rFonts w:hint="eastAsia" w:ascii="仿宋" w:hAnsi="仿宋" w:eastAsia="仿宋" w:cs="仿宋"/>
          <w:color w:val="000000"/>
          <w:sz w:val="30"/>
          <w:szCs w:val="30"/>
          <w:highlight w:val="none"/>
        </w:rPr>
        <w:t>%，资本利润率为</w:t>
      </w:r>
      <w:r>
        <w:rPr>
          <w:rFonts w:hint="eastAsia" w:ascii="仿宋" w:hAnsi="仿宋" w:eastAsia="仿宋" w:cs="仿宋"/>
          <w:color w:val="000000"/>
          <w:sz w:val="30"/>
          <w:szCs w:val="30"/>
          <w:highlight w:val="none"/>
          <w:lang w:val="en-US" w:eastAsia="zh-CN"/>
        </w:rPr>
        <w:t>3.02</w:t>
      </w:r>
      <w:r>
        <w:rPr>
          <w:rFonts w:hint="eastAsia" w:ascii="仿宋" w:hAnsi="仿宋" w:eastAsia="仿宋" w:cs="仿宋"/>
          <w:color w:val="000000"/>
          <w:sz w:val="30"/>
          <w:szCs w:val="30"/>
          <w:highlight w:val="none"/>
        </w:rPr>
        <w:t>%，累计提取贷款减值准备金</w:t>
      </w:r>
      <w:r>
        <w:rPr>
          <w:rFonts w:hint="eastAsia" w:ascii="仿宋" w:hAnsi="仿宋" w:eastAsia="仿宋" w:cs="仿宋"/>
          <w:color w:val="000000"/>
          <w:sz w:val="30"/>
          <w:szCs w:val="30"/>
          <w:highlight w:val="none"/>
          <w:lang w:val="en-US" w:eastAsia="zh-CN"/>
        </w:rPr>
        <w:t>1146.50</w:t>
      </w:r>
      <w:r>
        <w:rPr>
          <w:rFonts w:hint="eastAsia" w:ascii="仿宋" w:hAnsi="仿宋" w:eastAsia="仿宋" w:cs="仿宋"/>
          <w:color w:val="000000"/>
          <w:sz w:val="30"/>
          <w:szCs w:val="30"/>
          <w:highlight w:val="none"/>
        </w:rPr>
        <w:t>万元，拨备覆盖率达到</w:t>
      </w:r>
      <w:r>
        <w:rPr>
          <w:rFonts w:hint="eastAsia" w:ascii="仿宋" w:hAnsi="仿宋" w:eastAsia="仿宋" w:cs="仿宋"/>
          <w:color w:val="000000"/>
          <w:sz w:val="30"/>
          <w:szCs w:val="30"/>
          <w:highlight w:val="none"/>
          <w:lang w:val="en-US" w:eastAsia="zh-CN"/>
        </w:rPr>
        <w:t>150.4</w:t>
      </w:r>
      <w:r>
        <w:rPr>
          <w:rFonts w:hint="eastAsia" w:ascii="仿宋" w:hAnsi="仿宋" w:eastAsia="仿宋" w:cs="仿宋"/>
          <w:color w:val="000000"/>
          <w:sz w:val="30"/>
          <w:szCs w:val="30"/>
          <w:highlight w:val="none"/>
        </w:rPr>
        <w:t>%，拨贷比为</w:t>
      </w:r>
      <w:r>
        <w:rPr>
          <w:rFonts w:hint="eastAsia" w:ascii="仿宋" w:hAnsi="仿宋" w:eastAsia="仿宋" w:cs="仿宋"/>
          <w:color w:val="000000"/>
          <w:sz w:val="30"/>
          <w:szCs w:val="30"/>
          <w:highlight w:val="none"/>
          <w:lang w:val="en-US" w:eastAsia="zh-CN"/>
        </w:rPr>
        <w:t>4.37</w:t>
      </w:r>
      <w:r>
        <w:rPr>
          <w:rFonts w:hint="eastAsia" w:ascii="仿宋" w:hAnsi="仿宋" w:eastAsia="仿宋" w:cs="仿宋"/>
          <w:color w:val="000000"/>
          <w:sz w:val="30"/>
          <w:szCs w:val="30"/>
          <w:highlight w:val="none"/>
        </w:rPr>
        <w:t>%，流动性比例为</w:t>
      </w:r>
      <w:r>
        <w:rPr>
          <w:rFonts w:hint="eastAsia" w:ascii="仿宋" w:hAnsi="仿宋" w:eastAsia="仿宋" w:cs="仿宋"/>
          <w:color w:val="000000"/>
          <w:sz w:val="30"/>
          <w:szCs w:val="30"/>
          <w:highlight w:val="none"/>
          <w:lang w:val="en-US" w:eastAsia="zh-CN"/>
        </w:rPr>
        <w:t>97.03</w:t>
      </w:r>
      <w:r>
        <w:rPr>
          <w:rFonts w:hint="eastAsia" w:ascii="仿宋" w:hAnsi="仿宋" w:eastAsia="仿宋" w:cs="仿宋"/>
          <w:color w:val="000000"/>
          <w:sz w:val="30"/>
          <w:szCs w:val="30"/>
          <w:highlight w:val="none"/>
        </w:rPr>
        <w:t>%，资本充足率为</w:t>
      </w:r>
      <w:r>
        <w:rPr>
          <w:rFonts w:hint="eastAsia" w:ascii="仿宋" w:hAnsi="仿宋" w:eastAsia="仿宋" w:cs="仿宋"/>
          <w:color w:val="000000"/>
          <w:sz w:val="30"/>
          <w:szCs w:val="30"/>
          <w:highlight w:val="none"/>
          <w:lang w:val="en-US" w:eastAsia="zh-CN"/>
        </w:rPr>
        <w:t>24.32</w:t>
      </w:r>
      <w:r>
        <w:rPr>
          <w:rFonts w:hint="eastAsia" w:ascii="仿宋" w:hAnsi="仿宋" w:eastAsia="仿宋" w:cs="仿宋"/>
          <w:color w:val="000000"/>
          <w:sz w:val="30"/>
          <w:szCs w:val="30"/>
          <w:highlight w:val="none"/>
        </w:rPr>
        <w:t>%，全年安全无事故，各项主要监管指标符合监管要求。</w:t>
      </w:r>
    </w:p>
    <w:p>
      <w:pPr>
        <w:pStyle w:val="3"/>
        <w:spacing w:line="322" w:lineRule="atLeast"/>
        <w:jc w:val="both"/>
        <w:rPr>
          <w:rFonts w:ascii="微软雅黑" w:hAnsi="微软雅黑" w:eastAsia="微软雅黑"/>
          <w:color w:val="404040"/>
          <w:sz w:val="15"/>
          <w:szCs w:val="15"/>
        </w:rPr>
      </w:pPr>
      <w:r>
        <w:rPr>
          <w:rStyle w:val="10"/>
          <w:rFonts w:ascii="Arial" w:hAnsi="Arial" w:eastAsia="微软雅黑" w:cs="Arial"/>
          <w:b/>
          <w:bCs/>
          <w:color w:val="404040"/>
        </w:rPr>
        <w:t> </w:t>
      </w:r>
      <w:bookmarkStart w:id="5" w:name="_Toc481079992"/>
      <w:r>
        <w:rPr>
          <w:rStyle w:val="10"/>
          <w:rFonts w:hint="eastAsia" w:cs="Arial"/>
          <w:b/>
          <w:bCs/>
          <w:color w:val="000000"/>
          <w:sz w:val="24"/>
          <w:szCs w:val="24"/>
        </w:rPr>
        <w:t>一</w:t>
      </w:r>
      <w:bookmarkEnd w:id="5"/>
      <w:r>
        <w:rPr>
          <w:rStyle w:val="10"/>
          <w:rFonts w:hint="eastAsia" w:cs="Arial"/>
          <w:b/>
          <w:bCs/>
          <w:color w:val="000000"/>
          <w:sz w:val="24"/>
          <w:szCs w:val="24"/>
        </w:rPr>
        <w:t>、支农支小业务开展情况</w:t>
      </w:r>
    </w:p>
    <w:p>
      <w:pPr>
        <w:pStyle w:val="7"/>
        <w:spacing w:before="0" w:beforeAutospacing="0" w:after="0" w:afterAutospacing="0"/>
        <w:jc w:val="center"/>
        <w:rPr>
          <w:rFonts w:ascii="微软雅黑" w:hAnsi="微软雅黑" w:eastAsia="微软雅黑"/>
          <w:color w:val="404040"/>
          <w:sz w:val="15"/>
          <w:szCs w:val="15"/>
        </w:rPr>
      </w:pPr>
      <w:r>
        <w:rPr>
          <w:rFonts w:ascii="Times New Roman" w:hAnsi="Times New Roman" w:eastAsia="微软雅黑" w:cs="Times New Roman"/>
          <w:color w:val="404040"/>
          <w:sz w:val="21"/>
          <w:szCs w:val="21"/>
        </w:rPr>
        <w:t>                              </w:t>
      </w:r>
      <w:r>
        <w:rPr>
          <w:rFonts w:hint="eastAsia" w:cs="Times New Roman"/>
          <w:color w:val="000000"/>
          <w:spacing w:val="20"/>
        </w:rPr>
        <w:t>单位：人民币万元、户、%</w:t>
      </w:r>
    </w:p>
    <w:tbl>
      <w:tblPr>
        <w:tblStyle w:val="8"/>
        <w:tblW w:w="7818"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
      <w:tblGrid>
        <w:gridCol w:w="3583"/>
        <w:gridCol w:w="423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35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项目</w:t>
            </w:r>
          </w:p>
        </w:tc>
        <w:tc>
          <w:tcPr>
            <w:tcW w:w="42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201</w:t>
            </w:r>
            <w:r>
              <w:rPr>
                <w:rFonts w:hint="eastAsia" w:cs="Times New Roman"/>
                <w:color w:val="000000"/>
                <w:sz w:val="16"/>
                <w:szCs w:val="16"/>
                <w:lang w:val="en-US" w:eastAsia="zh-CN"/>
              </w:rPr>
              <w:t>9</w:t>
            </w:r>
            <w:r>
              <w:rPr>
                <w:rFonts w:hint="eastAsia" w:cs="Times New Roman"/>
                <w:color w:val="000000"/>
                <w:sz w:val="16"/>
                <w:szCs w:val="16"/>
              </w:rPr>
              <w:t>年度</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35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各项贷款余额</w:t>
            </w:r>
          </w:p>
        </w:tc>
        <w:tc>
          <w:tcPr>
            <w:tcW w:w="42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26216.97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75" w:hRule="atLeast"/>
          <w:jc w:val="center"/>
        </w:trPr>
        <w:tc>
          <w:tcPr>
            <w:tcW w:w="35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农户和小微贷款合计占比</w:t>
            </w:r>
          </w:p>
        </w:tc>
        <w:tc>
          <w:tcPr>
            <w:tcW w:w="42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404040"/>
                <w:sz w:val="16"/>
                <w:szCs w:val="16"/>
              </w:rPr>
              <w:t>97.</w:t>
            </w:r>
            <w:r>
              <w:rPr>
                <w:rFonts w:hint="eastAsia" w:cs="Times New Roman"/>
                <w:color w:val="404040"/>
                <w:sz w:val="16"/>
                <w:szCs w:val="16"/>
                <w:lang w:val="en-US" w:eastAsia="zh-CN"/>
              </w:rPr>
              <w:t>63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35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累计发放农户和小微企业客户数</w:t>
            </w:r>
          </w:p>
        </w:tc>
        <w:tc>
          <w:tcPr>
            <w:tcW w:w="42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13901</w:t>
            </w:r>
          </w:p>
        </w:tc>
      </w:tr>
    </w:tbl>
    <w:p>
      <w:pPr>
        <w:pStyle w:val="3"/>
        <w:spacing w:line="322" w:lineRule="atLeast"/>
        <w:jc w:val="both"/>
        <w:rPr>
          <w:rFonts w:ascii="微软雅黑" w:hAnsi="微软雅黑" w:eastAsia="微软雅黑"/>
          <w:color w:val="404040"/>
          <w:sz w:val="15"/>
          <w:szCs w:val="15"/>
        </w:rPr>
      </w:pPr>
      <w:bookmarkStart w:id="6" w:name="_Toc481079993"/>
      <w:r>
        <w:rPr>
          <w:rStyle w:val="10"/>
          <w:rFonts w:hint="eastAsia" w:cs="Arial"/>
          <w:b/>
          <w:bCs/>
          <w:color w:val="000000"/>
          <w:sz w:val="24"/>
          <w:szCs w:val="24"/>
        </w:rPr>
        <w:t>二、</w:t>
      </w:r>
      <w:bookmarkEnd w:id="6"/>
      <w:bookmarkStart w:id="7" w:name="_Toc193883020"/>
      <w:r>
        <w:rPr>
          <w:rStyle w:val="10"/>
          <w:rFonts w:hint="eastAsia" w:cs="Arial"/>
          <w:b/>
          <w:bCs/>
          <w:color w:val="000000"/>
          <w:sz w:val="24"/>
          <w:szCs w:val="24"/>
        </w:rPr>
        <w:t>截止报告期末主要合规性监管指标</w:t>
      </w:r>
      <w:bookmarkEnd w:id="7"/>
    </w:p>
    <w:tbl>
      <w:tblPr>
        <w:tblStyle w:val="8"/>
        <w:tblW w:w="7869"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
      <w:tblGrid>
        <w:gridCol w:w="4300"/>
        <w:gridCol w:w="1799"/>
        <w:gridCol w:w="177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05" w:hRule="atLeast"/>
          <w:jc w:val="center"/>
        </w:trPr>
        <w:tc>
          <w:tcPr>
            <w:tcW w:w="43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line="105" w:lineRule="atLeast"/>
              <w:ind w:left="0" w:right="0"/>
              <w:jc w:val="both"/>
              <w:rPr>
                <w:rFonts w:hint="default" w:ascii="微软雅黑" w:hAnsi="微软雅黑" w:eastAsia="微软雅黑"/>
                <w:color w:val="404040"/>
                <w:sz w:val="15"/>
                <w:szCs w:val="15"/>
              </w:rPr>
            </w:pPr>
            <w:r>
              <w:rPr>
                <w:rFonts w:hint="eastAsia" w:cs="Times New Roman"/>
                <w:color w:val="000000"/>
                <w:sz w:val="16"/>
                <w:szCs w:val="16"/>
              </w:rPr>
              <w:t>项目</w:t>
            </w:r>
          </w:p>
        </w:tc>
        <w:tc>
          <w:tcPr>
            <w:tcW w:w="1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line="105" w:lineRule="atLeast"/>
              <w:ind w:left="0" w:right="0"/>
              <w:jc w:val="both"/>
              <w:rPr>
                <w:rFonts w:hint="default" w:ascii="微软雅黑" w:hAnsi="微软雅黑" w:eastAsia="微软雅黑"/>
                <w:color w:val="404040"/>
                <w:sz w:val="15"/>
                <w:szCs w:val="15"/>
              </w:rPr>
            </w:pPr>
            <w:r>
              <w:rPr>
                <w:rFonts w:hint="eastAsia" w:cs="Times New Roman"/>
                <w:color w:val="000000"/>
                <w:sz w:val="16"/>
                <w:szCs w:val="16"/>
              </w:rPr>
              <w:t>标准值</w:t>
            </w:r>
          </w:p>
        </w:tc>
        <w:tc>
          <w:tcPr>
            <w:tcW w:w="1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line="105" w:lineRule="atLeast"/>
              <w:ind w:left="0" w:right="0"/>
              <w:jc w:val="both"/>
              <w:rPr>
                <w:rFonts w:hint="default" w:ascii="微软雅黑" w:hAnsi="微软雅黑" w:eastAsia="微软雅黑"/>
                <w:color w:val="404040"/>
                <w:sz w:val="15"/>
                <w:szCs w:val="15"/>
              </w:rPr>
            </w:pPr>
            <w:r>
              <w:rPr>
                <w:rFonts w:hint="eastAsia" w:cs="Times New Roman"/>
                <w:color w:val="000000"/>
                <w:sz w:val="16"/>
                <w:szCs w:val="16"/>
              </w:rPr>
              <w:t>201</w:t>
            </w:r>
            <w:r>
              <w:rPr>
                <w:rFonts w:hint="eastAsia" w:cs="Times New Roman"/>
                <w:color w:val="000000"/>
                <w:sz w:val="16"/>
                <w:szCs w:val="16"/>
                <w:lang w:val="en-US" w:eastAsia="zh-CN"/>
              </w:rPr>
              <w:t>9</w:t>
            </w:r>
            <w:r>
              <w:rPr>
                <w:rFonts w:hint="eastAsia" w:cs="Times New Roman"/>
                <w:color w:val="000000"/>
                <w:sz w:val="16"/>
                <w:szCs w:val="16"/>
              </w:rPr>
              <w:t>年度</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24" w:hRule="atLeast"/>
          <w:jc w:val="center"/>
        </w:trPr>
        <w:tc>
          <w:tcPr>
            <w:tcW w:w="43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资本充足率（%）</w:t>
            </w:r>
          </w:p>
        </w:tc>
        <w:tc>
          <w:tcPr>
            <w:tcW w:w="1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≥10.5</w:t>
            </w:r>
          </w:p>
        </w:tc>
        <w:tc>
          <w:tcPr>
            <w:tcW w:w="1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404040"/>
                <w:sz w:val="16"/>
                <w:szCs w:val="16"/>
              </w:rPr>
              <w:t>2</w:t>
            </w:r>
            <w:r>
              <w:rPr>
                <w:rFonts w:hint="eastAsia" w:cs="Times New Roman"/>
                <w:color w:val="404040"/>
                <w:sz w:val="16"/>
                <w:szCs w:val="16"/>
                <w:lang w:val="en-US" w:eastAsia="zh-CN"/>
              </w:rPr>
              <w:t>4.32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71" w:hRule="atLeast"/>
          <w:jc w:val="center"/>
        </w:trPr>
        <w:tc>
          <w:tcPr>
            <w:tcW w:w="43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核心资本充足率（%）</w:t>
            </w:r>
          </w:p>
        </w:tc>
        <w:tc>
          <w:tcPr>
            <w:tcW w:w="1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≥8.5</w:t>
            </w:r>
          </w:p>
        </w:tc>
        <w:tc>
          <w:tcPr>
            <w:tcW w:w="1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23.23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43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流动性比率（%）</w:t>
            </w:r>
          </w:p>
        </w:tc>
        <w:tc>
          <w:tcPr>
            <w:tcW w:w="1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≥25</w:t>
            </w:r>
          </w:p>
        </w:tc>
        <w:tc>
          <w:tcPr>
            <w:tcW w:w="1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97.03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0" w:hRule="atLeast"/>
          <w:jc w:val="center"/>
        </w:trPr>
        <w:tc>
          <w:tcPr>
            <w:tcW w:w="43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line="60" w:lineRule="atLeast"/>
              <w:ind w:left="0" w:right="0"/>
              <w:jc w:val="both"/>
              <w:rPr>
                <w:rFonts w:hint="default" w:ascii="微软雅黑" w:hAnsi="微软雅黑" w:eastAsia="微软雅黑"/>
                <w:color w:val="404040"/>
                <w:sz w:val="15"/>
                <w:szCs w:val="15"/>
              </w:rPr>
            </w:pPr>
            <w:r>
              <w:rPr>
                <w:rFonts w:hint="eastAsia" w:cs="Times New Roman"/>
                <w:color w:val="000000"/>
                <w:sz w:val="16"/>
                <w:szCs w:val="16"/>
              </w:rPr>
              <w:t>存贷比（%）</w:t>
            </w:r>
          </w:p>
        </w:tc>
        <w:tc>
          <w:tcPr>
            <w:tcW w:w="1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line="60" w:lineRule="atLeast"/>
              <w:ind w:left="0" w:right="0"/>
              <w:jc w:val="both"/>
              <w:rPr>
                <w:rFonts w:hint="default" w:ascii="微软雅黑" w:hAnsi="微软雅黑" w:eastAsia="微软雅黑"/>
                <w:color w:val="404040"/>
                <w:sz w:val="15"/>
                <w:szCs w:val="15"/>
              </w:rPr>
            </w:pPr>
            <w:r>
              <w:rPr>
                <w:rFonts w:hint="eastAsia" w:cs="Times New Roman"/>
                <w:color w:val="000000"/>
                <w:sz w:val="16"/>
                <w:szCs w:val="16"/>
              </w:rPr>
              <w:t>≤75</w:t>
            </w:r>
          </w:p>
        </w:tc>
        <w:tc>
          <w:tcPr>
            <w:tcW w:w="1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line="60" w:lineRule="atLeast"/>
              <w:ind w:left="0" w:right="0"/>
              <w:jc w:val="both"/>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96.05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99" w:hRule="atLeast"/>
          <w:jc w:val="center"/>
        </w:trPr>
        <w:tc>
          <w:tcPr>
            <w:tcW w:w="43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日均存贷比（%）</w:t>
            </w:r>
          </w:p>
        </w:tc>
        <w:tc>
          <w:tcPr>
            <w:tcW w:w="1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≥50</w:t>
            </w:r>
          </w:p>
        </w:tc>
        <w:tc>
          <w:tcPr>
            <w:tcW w:w="1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04" w:hRule="atLeast"/>
          <w:jc w:val="center"/>
        </w:trPr>
        <w:tc>
          <w:tcPr>
            <w:tcW w:w="43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净拆借资金比例（%）</w:t>
            </w:r>
          </w:p>
        </w:tc>
        <w:tc>
          <w:tcPr>
            <w:tcW w:w="1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≤-4</w:t>
            </w:r>
          </w:p>
        </w:tc>
        <w:tc>
          <w:tcPr>
            <w:tcW w:w="1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404040"/>
                <w:sz w:val="16"/>
                <w:szCs w:val="16"/>
              </w:rPr>
              <w:t>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5" w:hRule="atLeast"/>
          <w:jc w:val="center"/>
        </w:trPr>
        <w:tc>
          <w:tcPr>
            <w:tcW w:w="43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不良贷款比例（%）</w:t>
            </w:r>
          </w:p>
        </w:tc>
        <w:tc>
          <w:tcPr>
            <w:tcW w:w="1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≤5</w:t>
            </w:r>
          </w:p>
        </w:tc>
        <w:tc>
          <w:tcPr>
            <w:tcW w:w="1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2.91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28" w:hRule="atLeast"/>
          <w:jc w:val="center"/>
        </w:trPr>
        <w:tc>
          <w:tcPr>
            <w:tcW w:w="43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贷款拨备率（%）</w:t>
            </w:r>
          </w:p>
        </w:tc>
        <w:tc>
          <w:tcPr>
            <w:tcW w:w="1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≥2.5</w:t>
            </w:r>
          </w:p>
        </w:tc>
        <w:tc>
          <w:tcPr>
            <w:tcW w:w="1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4.37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31" w:hRule="atLeast"/>
          <w:jc w:val="center"/>
        </w:trPr>
        <w:tc>
          <w:tcPr>
            <w:tcW w:w="43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拨备覆盖率（%）</w:t>
            </w:r>
          </w:p>
        </w:tc>
        <w:tc>
          <w:tcPr>
            <w:tcW w:w="1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≥150</w:t>
            </w:r>
          </w:p>
        </w:tc>
        <w:tc>
          <w:tcPr>
            <w:tcW w:w="1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150.4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73" w:hRule="atLeast"/>
          <w:jc w:val="center"/>
        </w:trPr>
        <w:tc>
          <w:tcPr>
            <w:tcW w:w="43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资本利润率</w:t>
            </w:r>
          </w:p>
        </w:tc>
        <w:tc>
          <w:tcPr>
            <w:tcW w:w="1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≥11</w:t>
            </w:r>
          </w:p>
        </w:tc>
        <w:tc>
          <w:tcPr>
            <w:tcW w:w="1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eastAsia" w:ascii="微软雅黑" w:hAnsi="微软雅黑" w:eastAsia="微软雅黑"/>
                <w:color w:val="404040"/>
                <w:sz w:val="15"/>
                <w:szCs w:val="15"/>
                <w:lang w:val="en-US" w:eastAsia="zh-CN"/>
              </w:rPr>
            </w:pPr>
            <w:r>
              <w:rPr>
                <w:rFonts w:hint="eastAsia" w:ascii="微软雅黑" w:hAnsi="微软雅黑" w:eastAsia="微软雅黑"/>
                <w:color w:val="404040"/>
                <w:sz w:val="15"/>
                <w:szCs w:val="15"/>
                <w:lang w:val="en-US" w:eastAsia="zh-CN"/>
              </w:rPr>
              <w:t>3.02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34" w:hRule="atLeast"/>
          <w:jc w:val="center"/>
        </w:trPr>
        <w:tc>
          <w:tcPr>
            <w:tcW w:w="43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资产利润率</w:t>
            </w:r>
          </w:p>
        </w:tc>
        <w:tc>
          <w:tcPr>
            <w:tcW w:w="1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≥0.6</w:t>
            </w:r>
          </w:p>
        </w:tc>
        <w:tc>
          <w:tcPr>
            <w:tcW w:w="1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0.54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39" w:hRule="atLeast"/>
          <w:jc w:val="center"/>
        </w:trPr>
        <w:tc>
          <w:tcPr>
            <w:tcW w:w="43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成本收入比</w:t>
            </w:r>
          </w:p>
        </w:tc>
        <w:tc>
          <w:tcPr>
            <w:tcW w:w="1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≤45</w:t>
            </w:r>
          </w:p>
        </w:tc>
        <w:tc>
          <w:tcPr>
            <w:tcW w:w="1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81.32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72" w:hRule="atLeast"/>
          <w:jc w:val="center"/>
        </w:trPr>
        <w:tc>
          <w:tcPr>
            <w:tcW w:w="43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流动性缺口率</w:t>
            </w:r>
          </w:p>
        </w:tc>
        <w:tc>
          <w:tcPr>
            <w:tcW w:w="1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≥-10</w:t>
            </w:r>
          </w:p>
        </w:tc>
        <w:tc>
          <w:tcPr>
            <w:tcW w:w="1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eastAsia" w:ascii="微软雅黑" w:hAnsi="微软雅黑" w:eastAsia="微软雅黑"/>
                <w:color w:val="404040"/>
                <w:sz w:val="15"/>
                <w:szCs w:val="15"/>
                <w:lang w:val="en-US" w:eastAsia="zh-CN"/>
              </w:rPr>
            </w:pPr>
            <w:r>
              <w:rPr>
                <w:rFonts w:hint="eastAsia" w:ascii="微软雅黑" w:hAnsi="微软雅黑" w:eastAsia="微软雅黑"/>
                <w:color w:val="404040"/>
                <w:sz w:val="15"/>
                <w:szCs w:val="15"/>
                <w:lang w:val="en-US" w:eastAsia="zh-CN"/>
              </w:rPr>
              <w:t>50.85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34" w:hRule="atLeast"/>
          <w:jc w:val="center"/>
        </w:trPr>
        <w:tc>
          <w:tcPr>
            <w:tcW w:w="43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最大单一客户贷款比例（%）</w:t>
            </w:r>
          </w:p>
        </w:tc>
        <w:tc>
          <w:tcPr>
            <w:tcW w:w="1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≤10</w:t>
            </w:r>
          </w:p>
        </w:tc>
        <w:tc>
          <w:tcPr>
            <w:tcW w:w="1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eastAsia" w:ascii="微软雅黑" w:hAnsi="微软雅黑" w:eastAsia="微软雅黑"/>
                <w:color w:val="404040"/>
                <w:sz w:val="15"/>
                <w:szCs w:val="15"/>
                <w:lang w:val="en-US" w:eastAsia="zh-CN"/>
              </w:rPr>
            </w:pPr>
            <w:r>
              <w:rPr>
                <w:rFonts w:hint="eastAsia" w:ascii="微软雅黑" w:hAnsi="微软雅黑" w:eastAsia="微软雅黑"/>
                <w:color w:val="404040"/>
                <w:sz w:val="15"/>
                <w:szCs w:val="15"/>
                <w:lang w:val="en-US" w:eastAsia="zh-CN"/>
              </w:rPr>
              <w:t>4.55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95" w:hRule="atLeast"/>
          <w:jc w:val="center"/>
        </w:trPr>
        <w:tc>
          <w:tcPr>
            <w:tcW w:w="43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单一集团客户授信集中度（%）</w:t>
            </w:r>
          </w:p>
        </w:tc>
        <w:tc>
          <w:tcPr>
            <w:tcW w:w="179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≤15</w:t>
            </w:r>
          </w:p>
        </w:tc>
        <w:tc>
          <w:tcPr>
            <w:tcW w:w="1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pStyle w:val="7"/>
              <w:keepNext w:val="0"/>
              <w:keepLines w:val="0"/>
              <w:suppressLineNumbers w:val="0"/>
              <w:spacing w:before="0" w:beforeAutospacing="0" w:after="0" w:afterAutospacing="0"/>
              <w:ind w:left="0" w:right="0"/>
              <w:jc w:val="both"/>
              <w:rPr>
                <w:rFonts w:hint="eastAsia" w:ascii="微软雅黑" w:hAnsi="微软雅黑" w:eastAsia="微软雅黑"/>
                <w:color w:val="404040"/>
                <w:sz w:val="15"/>
                <w:szCs w:val="15"/>
                <w:lang w:val="en-US" w:eastAsia="zh-CN"/>
              </w:rPr>
            </w:pPr>
            <w:r>
              <w:rPr>
                <w:rFonts w:hint="eastAsia" w:ascii="微软雅黑" w:hAnsi="微软雅黑" w:eastAsia="微软雅黑"/>
                <w:color w:val="404040"/>
                <w:sz w:val="15"/>
                <w:szCs w:val="15"/>
                <w:lang w:val="en-US" w:eastAsia="zh-CN"/>
              </w:rPr>
              <w:t>0</w:t>
            </w:r>
          </w:p>
        </w:tc>
      </w:tr>
    </w:tbl>
    <w:p>
      <w:pPr>
        <w:pStyle w:val="3"/>
        <w:spacing w:line="322" w:lineRule="atLeast"/>
        <w:jc w:val="both"/>
        <w:rPr>
          <w:rFonts w:ascii="微软雅黑" w:hAnsi="微软雅黑" w:eastAsia="微软雅黑"/>
          <w:color w:val="404040"/>
          <w:sz w:val="15"/>
          <w:szCs w:val="15"/>
        </w:rPr>
      </w:pPr>
      <w:bookmarkStart w:id="8" w:name="_Toc481079994"/>
      <w:r>
        <w:rPr>
          <w:rStyle w:val="10"/>
          <w:rFonts w:hint="eastAsia" w:cs="Arial"/>
          <w:b/>
          <w:bCs/>
          <w:color w:val="000000"/>
          <w:sz w:val="24"/>
          <w:szCs w:val="24"/>
        </w:rPr>
        <w:t>三、应交纳保费金额统计表</w:t>
      </w:r>
      <w:bookmarkEnd w:id="8"/>
    </w:p>
    <w:p>
      <w:pPr>
        <w:pStyle w:val="7"/>
        <w:spacing w:before="0" w:beforeAutospacing="0" w:after="0" w:afterAutospacing="0"/>
        <w:jc w:val="right"/>
        <w:rPr>
          <w:rFonts w:ascii="微软雅黑" w:hAnsi="微软雅黑" w:eastAsia="微软雅黑"/>
          <w:color w:val="404040"/>
          <w:sz w:val="15"/>
          <w:szCs w:val="15"/>
        </w:rPr>
      </w:pPr>
      <w:r>
        <w:rPr>
          <w:rFonts w:hint="eastAsia" w:cs="Times New Roman"/>
          <w:color w:val="000000"/>
          <w:spacing w:val="20"/>
          <w:sz w:val="22"/>
          <w:szCs w:val="22"/>
        </w:rPr>
        <w:t>单位：万元</w:t>
      </w:r>
    </w:p>
    <w:tbl>
      <w:tblPr>
        <w:tblStyle w:val="8"/>
        <w:tblW w:w="8121"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
      <w:tblGrid>
        <w:gridCol w:w="704"/>
        <w:gridCol w:w="2454"/>
        <w:gridCol w:w="2454"/>
        <w:gridCol w:w="250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44" w:hRule="atLeast"/>
          <w:jc w:val="center"/>
        </w:trPr>
        <w:tc>
          <w:tcPr>
            <w:tcW w:w="7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序号</w:t>
            </w:r>
          </w:p>
        </w:tc>
        <w:tc>
          <w:tcPr>
            <w:tcW w:w="2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缴费时间</w:t>
            </w:r>
          </w:p>
        </w:tc>
        <w:tc>
          <w:tcPr>
            <w:tcW w:w="2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本期保费基数</w:t>
            </w:r>
          </w:p>
        </w:tc>
        <w:tc>
          <w:tcPr>
            <w:tcW w:w="25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本期应交纳保费数额</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7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1</w:t>
            </w:r>
          </w:p>
        </w:tc>
        <w:tc>
          <w:tcPr>
            <w:tcW w:w="2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201</w:t>
            </w:r>
            <w:r>
              <w:rPr>
                <w:rFonts w:hint="eastAsia" w:cs="Times New Roman"/>
                <w:color w:val="000000"/>
                <w:sz w:val="16"/>
                <w:szCs w:val="16"/>
                <w:lang w:val="en-US" w:eastAsia="zh-CN"/>
              </w:rPr>
              <w:t>9</w:t>
            </w:r>
            <w:r>
              <w:rPr>
                <w:rFonts w:hint="eastAsia" w:cs="Times New Roman"/>
                <w:color w:val="000000"/>
                <w:sz w:val="16"/>
                <w:szCs w:val="16"/>
              </w:rPr>
              <w:t>年1月-6月</w:t>
            </w:r>
          </w:p>
        </w:tc>
        <w:tc>
          <w:tcPr>
            <w:tcW w:w="2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highlight w:val="none"/>
                <w:lang w:eastAsia="zh-CN"/>
              </w:rPr>
            </w:pPr>
            <w:r>
              <w:rPr>
                <w:rFonts w:hint="eastAsia" w:eastAsia="微软雅黑" w:cs="Times New Roman"/>
                <w:color w:val="404040"/>
                <w:sz w:val="16"/>
                <w:szCs w:val="16"/>
                <w:highlight w:val="none"/>
                <w:lang w:val="en-US" w:eastAsia="zh-CN"/>
              </w:rPr>
              <w:t>22491.89</w:t>
            </w:r>
          </w:p>
        </w:tc>
        <w:tc>
          <w:tcPr>
            <w:tcW w:w="25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highlight w:val="none"/>
                <w:lang w:eastAsia="zh-CN"/>
              </w:rPr>
            </w:pPr>
            <w:r>
              <w:rPr>
                <w:rFonts w:hint="eastAsia" w:eastAsia="微软雅黑" w:cs="Times New Roman"/>
                <w:color w:val="404040"/>
                <w:sz w:val="16"/>
                <w:szCs w:val="16"/>
                <w:highlight w:val="none"/>
                <w:lang w:val="en-US" w:eastAsia="zh-CN"/>
              </w:rPr>
              <w:t>2.81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39" w:hRule="atLeast"/>
          <w:jc w:val="center"/>
        </w:trPr>
        <w:tc>
          <w:tcPr>
            <w:tcW w:w="70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2</w:t>
            </w:r>
          </w:p>
        </w:tc>
        <w:tc>
          <w:tcPr>
            <w:tcW w:w="2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201</w:t>
            </w:r>
            <w:r>
              <w:rPr>
                <w:rFonts w:hint="eastAsia" w:cs="Times New Roman"/>
                <w:color w:val="000000"/>
                <w:sz w:val="16"/>
                <w:szCs w:val="16"/>
                <w:lang w:val="en-US" w:eastAsia="zh-CN"/>
              </w:rPr>
              <w:t>9</w:t>
            </w:r>
            <w:r>
              <w:rPr>
                <w:rFonts w:hint="eastAsia" w:cs="Times New Roman"/>
                <w:color w:val="000000"/>
                <w:sz w:val="16"/>
                <w:szCs w:val="16"/>
              </w:rPr>
              <w:t>年7月-12月</w:t>
            </w:r>
          </w:p>
        </w:tc>
        <w:tc>
          <w:tcPr>
            <w:tcW w:w="2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highlight w:val="none"/>
                <w:lang w:val="en-US" w:eastAsia="zh-CN"/>
              </w:rPr>
            </w:pPr>
            <w:r>
              <w:rPr>
                <w:rFonts w:hint="eastAsia" w:eastAsia="微软雅黑" w:cs="Times New Roman"/>
                <w:color w:val="404040"/>
                <w:sz w:val="16"/>
                <w:szCs w:val="16"/>
                <w:highlight w:val="none"/>
                <w:lang w:val="en-US" w:eastAsia="zh-CN"/>
              </w:rPr>
              <w:t>26569.03</w:t>
            </w:r>
          </w:p>
        </w:tc>
        <w:tc>
          <w:tcPr>
            <w:tcW w:w="25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highlight w:val="none"/>
                <w:lang w:eastAsia="zh-CN"/>
              </w:rPr>
            </w:pPr>
            <w:r>
              <w:rPr>
                <w:rFonts w:hint="eastAsia" w:eastAsia="微软雅黑" w:cs="Times New Roman"/>
                <w:color w:val="404040"/>
                <w:sz w:val="16"/>
                <w:szCs w:val="16"/>
                <w:highlight w:val="none"/>
                <w:lang w:val="en-US" w:eastAsia="zh-CN"/>
              </w:rPr>
              <w:t>3.32</w:t>
            </w:r>
          </w:p>
        </w:tc>
      </w:tr>
    </w:tbl>
    <w:p>
      <w:pPr>
        <w:pStyle w:val="7"/>
        <w:spacing w:before="0" w:beforeAutospacing="0" w:after="0" w:afterAutospacing="0"/>
        <w:jc w:val="both"/>
        <w:rPr>
          <w:rFonts w:ascii="微软雅黑" w:hAnsi="微软雅黑" w:eastAsia="微软雅黑"/>
          <w:color w:val="404040"/>
          <w:sz w:val="15"/>
          <w:szCs w:val="15"/>
        </w:rPr>
      </w:pPr>
      <w:r>
        <w:rPr>
          <w:rFonts w:hint="eastAsia" w:ascii="微软雅黑" w:hAnsi="微软雅黑" w:eastAsia="微软雅黑"/>
          <w:color w:val="404040"/>
          <w:sz w:val="15"/>
          <w:szCs w:val="15"/>
        </w:rPr>
        <w:t> </w:t>
      </w:r>
    </w:p>
    <w:p>
      <w:pPr>
        <w:pStyle w:val="2"/>
        <w:spacing w:before="0" w:beforeAutospacing="0" w:after="0" w:afterAutospacing="0" w:line="387" w:lineRule="atLeast"/>
        <w:jc w:val="center"/>
        <w:rPr>
          <w:rStyle w:val="10"/>
          <w:b/>
          <w:bCs/>
          <w:color w:val="000000"/>
          <w:sz w:val="30"/>
          <w:szCs w:val="30"/>
        </w:rPr>
      </w:pPr>
      <w:bookmarkStart w:id="9" w:name="_Toc481079995"/>
    </w:p>
    <w:p>
      <w:pPr>
        <w:pStyle w:val="2"/>
        <w:spacing w:before="0" w:beforeAutospacing="0" w:after="0" w:afterAutospacing="0" w:line="387" w:lineRule="atLeast"/>
        <w:jc w:val="center"/>
        <w:rPr>
          <w:rStyle w:val="10"/>
          <w:b/>
          <w:bCs/>
          <w:color w:val="000000"/>
          <w:sz w:val="30"/>
          <w:szCs w:val="30"/>
        </w:rPr>
      </w:pPr>
    </w:p>
    <w:p>
      <w:pPr>
        <w:pStyle w:val="2"/>
        <w:keepNext/>
        <w:widowControl/>
        <w:wordWrap/>
        <w:adjustRightInd/>
        <w:snapToGrid w:val="0"/>
        <w:spacing w:before="0" w:beforeAutospacing="0" w:after="0" w:afterAutospacing="0" w:line="387" w:lineRule="atLeast"/>
        <w:jc w:val="center"/>
        <w:textAlignment w:val="auto"/>
        <w:rPr>
          <w:rFonts w:ascii="微软雅黑" w:hAnsi="微软雅黑" w:eastAsia="微软雅黑"/>
          <w:color w:val="404040"/>
          <w:sz w:val="17"/>
          <w:szCs w:val="17"/>
        </w:rPr>
      </w:pPr>
      <w:r>
        <w:rPr>
          <w:rStyle w:val="10"/>
          <w:rFonts w:hint="eastAsia"/>
          <w:b/>
          <w:bCs/>
          <w:color w:val="000000"/>
          <w:sz w:val="30"/>
          <w:szCs w:val="30"/>
        </w:rPr>
        <w:t>第三章　财务会计报告</w:t>
      </w:r>
      <w:bookmarkEnd w:id="9"/>
    </w:p>
    <w:p>
      <w:pPr>
        <w:pStyle w:val="3"/>
        <w:spacing w:before="0" w:after="0" w:line="322" w:lineRule="atLeast"/>
        <w:jc w:val="both"/>
        <w:rPr>
          <w:rFonts w:ascii="微软雅黑" w:hAnsi="微软雅黑" w:eastAsia="微软雅黑"/>
          <w:color w:val="404040"/>
          <w:sz w:val="15"/>
          <w:szCs w:val="15"/>
        </w:rPr>
      </w:pPr>
      <w:r>
        <w:rPr>
          <w:rStyle w:val="10"/>
          <w:rFonts w:ascii="Arial" w:hAnsi="Arial" w:eastAsia="微软雅黑" w:cs="Arial"/>
          <w:b/>
          <w:bCs/>
          <w:color w:val="404040"/>
        </w:rPr>
        <w:t>   </w:t>
      </w:r>
      <w:r>
        <w:rPr>
          <w:rStyle w:val="11"/>
          <w:rFonts w:ascii="Arial" w:hAnsi="Arial" w:eastAsia="微软雅黑" w:cs="Arial"/>
          <w:color w:val="404040"/>
        </w:rPr>
        <w:t> </w:t>
      </w:r>
      <w:bookmarkStart w:id="10" w:name="_Toc481079996"/>
      <w:r>
        <w:rPr>
          <w:rStyle w:val="10"/>
          <w:rFonts w:hint="eastAsia" w:cs="Arial"/>
          <w:b/>
          <w:bCs/>
          <w:color w:val="000000"/>
          <w:sz w:val="28"/>
          <w:szCs w:val="28"/>
        </w:rPr>
        <w:t>一、</w:t>
      </w:r>
      <w:bookmarkEnd w:id="10"/>
      <w:r>
        <w:rPr>
          <w:rStyle w:val="10"/>
          <w:rFonts w:hint="eastAsia" w:cs="Arial"/>
          <w:b/>
          <w:bCs/>
          <w:color w:val="000000"/>
          <w:sz w:val="24"/>
          <w:szCs w:val="24"/>
        </w:rPr>
        <w:t>会计报表</w:t>
      </w:r>
    </w:p>
    <w:p>
      <w:pPr>
        <w:pStyle w:val="7"/>
        <w:spacing w:before="0" w:beforeAutospacing="0" w:after="0" w:afterAutospacing="0"/>
        <w:jc w:val="both"/>
        <w:rPr>
          <w:rFonts w:ascii="微软雅黑" w:hAnsi="微软雅黑" w:eastAsia="微软雅黑"/>
          <w:color w:val="404040"/>
          <w:sz w:val="15"/>
          <w:szCs w:val="15"/>
        </w:rPr>
      </w:pPr>
      <w:bookmarkStart w:id="11" w:name="_Toc481079997"/>
      <w:r>
        <w:rPr>
          <w:rFonts w:hint="eastAsia" w:cs="Times New Roman"/>
          <w:color w:val="000000"/>
        </w:rPr>
        <w:t>（一）资产负债表</w:t>
      </w:r>
      <w:bookmarkEnd w:id="11"/>
    </w:p>
    <w:p>
      <w:pPr>
        <w:pStyle w:val="7"/>
        <w:spacing w:before="0" w:beforeAutospacing="0" w:after="0" w:afterAutospacing="0"/>
        <w:jc w:val="center"/>
        <w:rPr>
          <w:rFonts w:ascii="微软雅黑" w:hAnsi="微软雅黑" w:eastAsia="微软雅黑"/>
          <w:color w:val="404040"/>
          <w:sz w:val="15"/>
          <w:szCs w:val="15"/>
        </w:rPr>
      </w:pPr>
      <w:r>
        <w:rPr>
          <w:rStyle w:val="10"/>
          <w:rFonts w:hint="eastAsia" w:cs="Times New Roman"/>
          <w:color w:val="000000"/>
          <w:lang w:val="en-US" w:eastAsia="zh-CN"/>
        </w:rPr>
        <w:t>临猗新田</w:t>
      </w:r>
      <w:r>
        <w:rPr>
          <w:rStyle w:val="10"/>
          <w:rFonts w:hint="eastAsia" w:cs="Times New Roman"/>
          <w:color w:val="000000"/>
        </w:rPr>
        <w:t>村镇银行资产负债表</w:t>
      </w:r>
    </w:p>
    <w:p>
      <w:pPr>
        <w:pStyle w:val="7"/>
        <w:spacing w:before="0" w:beforeAutospacing="0" w:after="0" w:afterAutospacing="0"/>
        <w:rPr>
          <w:rFonts w:ascii="微软雅黑" w:hAnsi="微软雅黑" w:eastAsia="微软雅黑"/>
          <w:color w:val="404040"/>
          <w:sz w:val="15"/>
          <w:szCs w:val="15"/>
        </w:rPr>
      </w:pPr>
      <w:r>
        <w:rPr>
          <w:rFonts w:hint="eastAsia" w:cs="Times New Roman"/>
          <w:color w:val="000000"/>
          <w:sz w:val="22"/>
          <w:szCs w:val="22"/>
        </w:rPr>
        <w:t>编制单位：</w:t>
      </w:r>
      <w:r>
        <w:rPr>
          <w:rFonts w:hint="eastAsia" w:cs="Times New Roman"/>
          <w:color w:val="000000"/>
          <w:sz w:val="22"/>
          <w:szCs w:val="22"/>
          <w:lang w:val="en-US" w:eastAsia="zh-CN"/>
        </w:rPr>
        <w:t>临猗新田</w:t>
      </w:r>
      <w:r>
        <w:rPr>
          <w:rFonts w:hint="eastAsia" w:cs="Times New Roman"/>
          <w:color w:val="000000"/>
          <w:sz w:val="22"/>
          <w:szCs w:val="22"/>
        </w:rPr>
        <w:t>村镇银行   日期：201</w:t>
      </w:r>
      <w:r>
        <w:rPr>
          <w:rFonts w:hint="eastAsia" w:cs="Times New Roman"/>
          <w:color w:val="000000"/>
          <w:sz w:val="22"/>
          <w:szCs w:val="22"/>
          <w:lang w:val="en-US" w:eastAsia="zh-CN"/>
        </w:rPr>
        <w:t>9</w:t>
      </w:r>
      <w:r>
        <w:rPr>
          <w:rFonts w:hint="eastAsia" w:cs="Times New Roman"/>
          <w:color w:val="000000"/>
          <w:sz w:val="22"/>
          <w:szCs w:val="22"/>
        </w:rPr>
        <w:t>年12月31日    单位：元</w:t>
      </w:r>
    </w:p>
    <w:tbl>
      <w:tblPr>
        <w:tblStyle w:val="8"/>
        <w:tblW w:w="9640" w:type="dxa"/>
        <w:tblInd w:w="-2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
        <w:gridCol w:w="1418"/>
        <w:gridCol w:w="139"/>
        <w:gridCol w:w="425"/>
        <w:gridCol w:w="3"/>
        <w:gridCol w:w="1273"/>
        <w:gridCol w:w="145"/>
        <w:gridCol w:w="1131"/>
        <w:gridCol w:w="145"/>
        <w:gridCol w:w="1275"/>
        <w:gridCol w:w="851"/>
        <w:gridCol w:w="161"/>
        <w:gridCol w:w="403"/>
        <w:gridCol w:w="656"/>
        <w:gridCol w:w="478"/>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ˎ̥" w:hAnsi="ˎ̥" w:eastAsia="宋体" w:cs="Arial"/>
                <w:b/>
                <w:bCs/>
                <w:color w:val="000000"/>
                <w:kern w:val="0"/>
                <w:sz w:val="16"/>
                <w:szCs w:val="16"/>
              </w:rPr>
            </w:pPr>
            <w:bookmarkStart w:id="12" w:name="_Toc481079999"/>
            <w:r>
              <w:rPr>
                <w:rFonts w:hint="default" w:ascii="ˎ̥" w:hAnsi="ˎ̥" w:eastAsia="宋体" w:cs="Arial"/>
                <w:b/>
                <w:bCs/>
                <w:color w:val="000000"/>
                <w:kern w:val="0"/>
                <w:sz w:val="16"/>
                <w:szCs w:val="16"/>
              </w:rPr>
              <w:t>资产</w:t>
            </w:r>
          </w:p>
        </w:tc>
        <w:tc>
          <w:tcPr>
            <w:tcW w:w="567"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ˎ̥" w:hAnsi="ˎ̥" w:eastAsia="宋体" w:cs="Arial"/>
                <w:b/>
                <w:bCs/>
                <w:color w:val="000000"/>
                <w:kern w:val="0"/>
                <w:sz w:val="16"/>
                <w:szCs w:val="16"/>
              </w:rPr>
            </w:pPr>
            <w:r>
              <w:rPr>
                <w:rFonts w:hint="default" w:ascii="ˎ̥" w:hAnsi="ˎ̥" w:eastAsia="宋体" w:cs="Arial"/>
                <w:b/>
                <w:bCs/>
                <w:color w:val="000000"/>
                <w:kern w:val="0"/>
                <w:sz w:val="16"/>
                <w:szCs w:val="16"/>
              </w:rPr>
              <w:t>行次</w:t>
            </w:r>
          </w:p>
        </w:tc>
        <w:tc>
          <w:tcPr>
            <w:tcW w:w="1418"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ˎ̥" w:hAnsi="ˎ̥" w:eastAsia="宋体" w:cs="Arial"/>
                <w:b/>
                <w:bCs/>
                <w:color w:val="000000"/>
                <w:kern w:val="0"/>
                <w:sz w:val="16"/>
                <w:szCs w:val="16"/>
              </w:rPr>
            </w:pPr>
            <w:r>
              <w:rPr>
                <w:rFonts w:hint="default" w:ascii="ˎ̥" w:hAnsi="ˎ̥" w:eastAsia="宋体" w:cs="Arial"/>
                <w:b/>
                <w:bCs/>
                <w:color w:val="000000"/>
                <w:kern w:val="0"/>
                <w:sz w:val="16"/>
                <w:szCs w:val="16"/>
              </w:rPr>
              <w:t>期初数</w:t>
            </w:r>
          </w:p>
        </w:tc>
        <w:tc>
          <w:tcPr>
            <w:tcW w:w="1276"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ˎ̥" w:hAnsi="ˎ̥" w:eastAsia="宋体" w:cs="Arial"/>
                <w:b/>
                <w:bCs/>
                <w:color w:val="000000"/>
                <w:kern w:val="0"/>
                <w:sz w:val="16"/>
                <w:szCs w:val="16"/>
              </w:rPr>
            </w:pPr>
            <w:r>
              <w:rPr>
                <w:rFonts w:hint="default" w:ascii="ˎ̥" w:hAnsi="ˎ̥" w:eastAsia="宋体" w:cs="Arial"/>
                <w:b/>
                <w:bCs/>
                <w:color w:val="000000"/>
                <w:kern w:val="0"/>
                <w:sz w:val="16"/>
                <w:szCs w:val="16"/>
              </w:rPr>
              <w:t>期末数</w:t>
            </w:r>
          </w:p>
        </w:tc>
        <w:tc>
          <w:tcPr>
            <w:tcW w:w="12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ˎ̥" w:hAnsi="ˎ̥" w:eastAsia="宋体" w:cs="Arial"/>
                <w:b/>
                <w:bCs/>
                <w:color w:val="000000"/>
                <w:kern w:val="0"/>
                <w:sz w:val="16"/>
                <w:szCs w:val="16"/>
              </w:rPr>
            </w:pPr>
            <w:r>
              <w:rPr>
                <w:rFonts w:hint="default" w:ascii="ˎ̥" w:hAnsi="ˎ̥" w:eastAsia="宋体" w:cs="Arial"/>
                <w:b/>
                <w:bCs/>
                <w:color w:val="000000"/>
                <w:kern w:val="0"/>
                <w:sz w:val="16"/>
                <w:szCs w:val="16"/>
              </w:rPr>
              <w:t>负债及所有者权益合计</w:t>
            </w:r>
          </w:p>
        </w:tc>
        <w:tc>
          <w:tcPr>
            <w:tcW w:w="85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ˎ̥" w:hAnsi="ˎ̥" w:eastAsia="宋体" w:cs="Arial"/>
                <w:b/>
                <w:bCs/>
                <w:color w:val="000000"/>
                <w:kern w:val="0"/>
                <w:sz w:val="16"/>
                <w:szCs w:val="16"/>
              </w:rPr>
            </w:pPr>
            <w:r>
              <w:rPr>
                <w:rFonts w:hint="default" w:ascii="ˎ̥" w:hAnsi="ˎ̥" w:eastAsia="宋体" w:cs="Arial"/>
                <w:b/>
                <w:bCs/>
                <w:color w:val="000000"/>
                <w:kern w:val="0"/>
                <w:sz w:val="16"/>
                <w:szCs w:val="16"/>
              </w:rPr>
              <w:t>行次</w:t>
            </w:r>
          </w:p>
        </w:tc>
        <w:tc>
          <w:tcPr>
            <w:tcW w:w="122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ˎ̥" w:hAnsi="ˎ̥" w:eastAsia="宋体" w:cs="Arial"/>
                <w:b/>
                <w:bCs/>
                <w:color w:val="000000"/>
                <w:kern w:val="0"/>
                <w:sz w:val="16"/>
                <w:szCs w:val="16"/>
              </w:rPr>
            </w:pPr>
            <w:r>
              <w:rPr>
                <w:rFonts w:hint="default" w:ascii="ˎ̥" w:hAnsi="ˎ̥" w:eastAsia="宋体" w:cs="Arial"/>
                <w:b/>
                <w:bCs/>
                <w:color w:val="000000"/>
                <w:kern w:val="0"/>
                <w:sz w:val="16"/>
                <w:szCs w:val="16"/>
              </w:rPr>
              <w:t>期初数</w:t>
            </w:r>
          </w:p>
        </w:tc>
        <w:tc>
          <w:tcPr>
            <w:tcW w:w="161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ˎ̥" w:hAnsi="ˎ̥" w:eastAsia="宋体" w:cs="Arial"/>
                <w:b/>
                <w:bCs/>
                <w:color w:val="000000"/>
                <w:kern w:val="0"/>
                <w:sz w:val="16"/>
                <w:szCs w:val="16"/>
              </w:rPr>
            </w:pPr>
            <w:r>
              <w:rPr>
                <w:rFonts w:hint="default" w:ascii="ˎ̥" w:hAnsi="ˎ̥" w:eastAsia="宋体" w:cs="Arial"/>
                <w:b/>
                <w:bCs/>
                <w:color w:val="000000"/>
                <w:kern w:val="0"/>
                <w:sz w:val="16"/>
                <w:szCs w:val="16"/>
              </w:rPr>
              <w:t>期末数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现金及存放中央银行款项</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22,260,793.48</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31271995.84</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向中央银行借款</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26</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50,000,000.00</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eastAsia" w:ascii="Arial" w:hAnsi="Arial" w:eastAsia="宋体" w:cs="Arial"/>
                <w:color w:val="000000"/>
                <w:kern w:val="0"/>
                <w:sz w:val="16"/>
                <w:szCs w:val="16"/>
                <w:lang w:val="en-US" w:eastAsia="zh-CN"/>
              </w:rPr>
              <w:t>4</w:t>
            </w:r>
            <w:r>
              <w:rPr>
                <w:rFonts w:hint="default" w:ascii="Arial" w:hAnsi="Arial" w:eastAsia="宋体" w:cs="Arial"/>
                <w:color w:val="000000"/>
                <w:kern w:val="0"/>
                <w:sz w:val="16"/>
                <w:szCs w:val="16"/>
              </w:rPr>
              <w:t>0,000,000.00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存放同业款项</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74,468,552.05</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94793772.36</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同业及其他金融机构存放款项</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27</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银行存款</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3</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拆入资金</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28</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同业借出款</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4</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交易性金融负债</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29</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贵金属</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5</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衍生金融负债</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30</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拆出资金</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6</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卖出回购金融资产款</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31</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交易性金融资产</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7</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吸收存款</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32</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210,278,014.65</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272948494.33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衍生金融资产</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8</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应付利息</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33</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2,565,558.71</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4727980.57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买入返售金融资产</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9</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应付职工薪酬</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34</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715,862.26</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1314252.24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发放贷款和垫款</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10</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226,051,439.19</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250704738.10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应交税费</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35</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44,363.34</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67590.70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应收利息</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11</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122,067.63</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79825.27</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预计负债</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36</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可供出售金融资产</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12</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应付债券</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37</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持有至到期投资</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13</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递延所得税负债</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38</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应收款项投资</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14</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其他负债</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39</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1,217,199.33</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4492288.50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长期股权投资</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15</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负债总计</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40</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264,820,998.29</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323550606.34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投资性房地产</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16</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股东权益:</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41</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固定资产</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17</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2,516,694.94</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1876379.58</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股本</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42</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60,000,000.00</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60,000,000.00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无形资产</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18</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资本公积</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43</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递延所得税资产</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19</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减：库存股</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44</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其他资产</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20</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6,538,695.50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8514650.91</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盈余公积</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45</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55440.00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存放同业减值准备</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21</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-718,122.59</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-718,122.59</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一般风险准备</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46</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1200000.00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存放系统内款项</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22</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未分配利润</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47</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6,419,121.91</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1218233.13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23</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48</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24</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val="en-US" w:eastAsia="zh-CN"/>
              </w:rPr>
            </w:pPr>
            <w:r>
              <w:rPr>
                <w:rFonts w:hint="eastAsia" w:ascii="Arial" w:hAnsi="Arial" w:eastAsia="宋体" w:cs="Arial"/>
                <w:color w:val="000000"/>
                <w:kern w:val="0"/>
                <w:sz w:val="16"/>
                <w:szCs w:val="16"/>
                <w:lang w:val="en-US" w:eastAsia="zh-CN"/>
              </w:rPr>
              <w:t>0.00</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股东权益合计</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49</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66,419,121.91</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62972633.13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141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资产总计</w:t>
            </w:r>
          </w:p>
        </w:tc>
        <w:tc>
          <w:tcPr>
            <w:tcW w:w="567"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25</w:t>
            </w:r>
          </w:p>
        </w:tc>
        <w:tc>
          <w:tcPr>
            <w:tcW w:w="1418"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eastAsia" w:ascii="Arial" w:hAnsi="Arial" w:eastAsia="宋体" w:cs="Arial"/>
                <w:color w:val="000000"/>
                <w:kern w:val="0"/>
                <w:sz w:val="16"/>
                <w:szCs w:val="16"/>
                <w:lang w:val="en-US" w:eastAsia="zh-CN"/>
              </w:rPr>
              <w:t>331240120.20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eastAsia" w:ascii="Arial" w:hAnsi="Arial" w:eastAsia="宋体" w:cs="Arial"/>
                <w:color w:val="000000"/>
                <w:kern w:val="0"/>
                <w:sz w:val="16"/>
                <w:szCs w:val="16"/>
                <w:lang w:val="en-US" w:eastAsia="zh-CN"/>
              </w:rPr>
              <w:t>386523239.47</w:t>
            </w:r>
          </w:p>
        </w:tc>
        <w:tc>
          <w:tcPr>
            <w:tcW w:w="127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负债及所有者权益合计</w:t>
            </w:r>
          </w:p>
        </w:tc>
        <w:tc>
          <w:tcPr>
            <w:tcW w:w="85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50</w:t>
            </w:r>
          </w:p>
        </w:tc>
        <w:tc>
          <w:tcPr>
            <w:tcW w:w="1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eastAsia" w:ascii="Arial" w:hAnsi="Arial" w:eastAsia="宋体" w:cs="Arial"/>
                <w:color w:val="000000"/>
                <w:kern w:val="0"/>
                <w:sz w:val="16"/>
                <w:szCs w:val="16"/>
                <w:lang w:val="en-US" w:eastAsia="zh-CN"/>
              </w:rPr>
              <w:t>331240120.20</w:t>
            </w:r>
          </w:p>
        </w:tc>
        <w:tc>
          <w:tcPr>
            <w:tcW w:w="161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eastAsia" w:ascii="Arial" w:hAnsi="Arial" w:eastAsia="宋体" w:cs="Arial"/>
                <w:color w:val="000000"/>
                <w:kern w:val="0"/>
                <w:sz w:val="16"/>
                <w:szCs w:val="16"/>
                <w:lang w:val="en-US" w:eastAsia="zh-CN"/>
              </w:rPr>
              <w:t>386523239.47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3" w:type="dxa"/>
          <w:cantSplit/>
          <w:trHeight w:val="283" w:hRule="atLeast"/>
        </w:trPr>
        <w:tc>
          <w:tcPr>
            <w:tcW w:w="9637" w:type="dxa"/>
            <w:gridSpan w:val="15"/>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Style w:val="10"/>
                <w:rFonts w:hint="eastAsia" w:cs="Times New Roman"/>
                <w:color w:val="000000"/>
              </w:rPr>
            </w:pPr>
            <w:r>
              <w:rPr>
                <w:rStyle w:val="10"/>
                <w:rFonts w:hint="eastAsia" w:cs="Times New Roman"/>
                <w:color w:val="000000"/>
                <w:lang w:val="en-US" w:eastAsia="zh-CN"/>
              </w:rPr>
              <w:t>临猗新田</w:t>
            </w:r>
            <w:r>
              <w:rPr>
                <w:rStyle w:val="10"/>
                <w:rFonts w:hint="eastAsia" w:cs="Times New Roman"/>
                <w:color w:val="000000"/>
              </w:rPr>
              <w:t>村镇银</w:t>
            </w:r>
            <w:r>
              <w:rPr>
                <w:rStyle w:val="10"/>
                <w:rFonts w:hint="eastAsia" w:cs="Times New Roman"/>
                <w:color w:val="000000"/>
                <w:highlight w:val="none"/>
              </w:rPr>
              <w:t>行</w:t>
            </w:r>
            <w:r>
              <w:rPr>
                <w:rStyle w:val="10"/>
                <w:rFonts w:hint="eastAsia" w:cs="Times New Roman"/>
                <w:color w:val="000000"/>
                <w:highlight w:val="none"/>
                <w:lang w:eastAsia="zh-CN"/>
              </w:rPr>
              <w:t>利润</w:t>
            </w:r>
            <w:r>
              <w:rPr>
                <w:rStyle w:val="10"/>
                <w:rFonts w:hint="eastAsia" w:cs="Times New Roman"/>
                <w:color w:val="000000"/>
                <w:highlight w:val="none"/>
              </w:rPr>
              <w:t>表</w:t>
            </w:r>
          </w:p>
          <w:p>
            <w:pPr>
              <w:pStyle w:val="7"/>
              <w:keepNext w:val="0"/>
              <w:keepLines w:val="0"/>
              <w:suppressLineNumbers w:val="0"/>
              <w:spacing w:before="0" w:beforeAutospacing="0" w:after="0" w:afterAutospacing="0"/>
              <w:ind w:left="0" w:right="0"/>
              <w:jc w:val="center"/>
              <w:rPr>
                <w:rStyle w:val="10"/>
                <w:rFonts w:hint="eastAsia" w:cs="Times New Roman"/>
                <w:color w:val="000000"/>
              </w:rPr>
            </w:pPr>
          </w:p>
          <w:p>
            <w:pPr>
              <w:pStyle w:val="7"/>
              <w:keepNext w:val="0"/>
              <w:keepLines w:val="0"/>
              <w:suppressLineNumbers w:val="0"/>
              <w:spacing w:before="0" w:beforeAutospacing="0" w:after="0" w:afterAutospacing="0"/>
              <w:ind w:left="0" w:right="0"/>
              <w:rPr>
                <w:rFonts w:hint="default" w:ascii="Arial" w:hAnsi="Arial" w:eastAsia="宋体" w:cs="Arial"/>
                <w:color w:val="000000"/>
                <w:kern w:val="0"/>
                <w:sz w:val="16"/>
                <w:szCs w:val="16"/>
              </w:rPr>
            </w:pPr>
            <w:r>
              <w:rPr>
                <w:rFonts w:hint="eastAsia" w:cs="Times New Roman"/>
                <w:color w:val="000000"/>
                <w:sz w:val="22"/>
                <w:szCs w:val="22"/>
              </w:rPr>
              <w:t>编制单位：</w:t>
            </w:r>
            <w:r>
              <w:rPr>
                <w:rFonts w:hint="eastAsia" w:cs="Times New Roman"/>
                <w:color w:val="000000"/>
                <w:sz w:val="22"/>
                <w:szCs w:val="22"/>
                <w:lang w:val="en-US" w:eastAsia="zh-CN"/>
              </w:rPr>
              <w:t>临猗新田</w:t>
            </w:r>
            <w:r>
              <w:rPr>
                <w:rFonts w:hint="eastAsia" w:cs="Times New Roman"/>
                <w:color w:val="000000"/>
                <w:sz w:val="22"/>
                <w:szCs w:val="22"/>
              </w:rPr>
              <w:t>村镇银行   日期：201</w:t>
            </w:r>
            <w:r>
              <w:rPr>
                <w:rFonts w:hint="eastAsia" w:cs="Times New Roman"/>
                <w:color w:val="000000"/>
                <w:sz w:val="22"/>
                <w:szCs w:val="22"/>
                <w:lang w:val="en-US" w:eastAsia="zh-CN"/>
              </w:rPr>
              <w:t>9</w:t>
            </w:r>
            <w:r>
              <w:rPr>
                <w:rFonts w:hint="eastAsia" w:cs="Times New Roman"/>
                <w:color w:val="000000"/>
                <w:sz w:val="22"/>
                <w:szCs w:val="22"/>
              </w:rPr>
              <w:t>年12月31日    单位：元</w:t>
            </w:r>
          </w:p>
        </w:tc>
      </w:tr>
      <w:bookmarkEnd w:id="12"/>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560"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eastAsia" w:ascii="ˎ̥" w:hAnsi="ˎ̥" w:eastAsia="宋体" w:cs="Arial"/>
                <w:b/>
                <w:bCs/>
                <w:color w:val="000000"/>
                <w:kern w:val="0"/>
                <w:sz w:val="16"/>
                <w:szCs w:val="16"/>
              </w:rPr>
            </w:pPr>
            <w:r>
              <w:rPr>
                <w:rFonts w:hint="default" w:ascii="ˎ̥" w:hAnsi="ˎ̥" w:eastAsia="宋体" w:cs="Arial"/>
                <w:b/>
                <w:bCs/>
                <w:color w:val="000000"/>
                <w:kern w:val="0"/>
                <w:sz w:val="16"/>
                <w:szCs w:val="16"/>
              </w:rPr>
              <w:t>项目</w:t>
            </w:r>
          </w:p>
        </w:tc>
        <w:tc>
          <w:tcPr>
            <w:tcW w:w="4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ˎ̥" w:hAnsi="ˎ̥" w:eastAsia="宋体" w:cs="Arial"/>
                <w:b/>
                <w:bCs/>
                <w:color w:val="000000"/>
                <w:kern w:val="0"/>
                <w:sz w:val="16"/>
                <w:szCs w:val="16"/>
              </w:rPr>
            </w:pPr>
            <w:r>
              <w:rPr>
                <w:rFonts w:hint="default" w:ascii="ˎ̥" w:hAnsi="ˎ̥" w:eastAsia="宋体" w:cs="Arial"/>
                <w:b/>
                <w:bCs/>
                <w:color w:val="000000"/>
                <w:kern w:val="0"/>
                <w:sz w:val="16"/>
                <w:szCs w:val="16"/>
              </w:rPr>
              <w:t>行次</w:t>
            </w:r>
          </w:p>
        </w:tc>
        <w:tc>
          <w:tcPr>
            <w:tcW w:w="1276"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ˎ̥" w:hAnsi="ˎ̥" w:eastAsia="宋体" w:cs="Arial"/>
                <w:b/>
                <w:bCs/>
                <w:color w:val="000000"/>
                <w:kern w:val="0"/>
                <w:sz w:val="16"/>
                <w:szCs w:val="16"/>
              </w:rPr>
            </w:pPr>
            <w:r>
              <w:rPr>
                <w:rFonts w:hint="default" w:ascii="ˎ̥" w:hAnsi="ˎ̥" w:eastAsia="宋体" w:cs="Arial"/>
                <w:b/>
                <w:bCs/>
                <w:color w:val="000000"/>
                <w:kern w:val="0"/>
                <w:sz w:val="16"/>
                <w:szCs w:val="16"/>
              </w:rPr>
              <w:t>上期数</w:t>
            </w:r>
          </w:p>
        </w:tc>
        <w:tc>
          <w:tcPr>
            <w:tcW w:w="1276"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ˎ̥" w:hAnsi="ˎ̥" w:eastAsia="宋体" w:cs="Arial"/>
                <w:b/>
                <w:bCs/>
                <w:color w:val="000000"/>
                <w:kern w:val="0"/>
                <w:sz w:val="16"/>
                <w:szCs w:val="16"/>
              </w:rPr>
            </w:pPr>
            <w:r>
              <w:rPr>
                <w:rFonts w:hint="default" w:ascii="ˎ̥" w:hAnsi="ˎ̥" w:eastAsia="宋体" w:cs="Arial"/>
                <w:b/>
                <w:bCs/>
                <w:color w:val="000000"/>
                <w:kern w:val="0"/>
                <w:sz w:val="16"/>
                <w:szCs w:val="16"/>
              </w:rPr>
              <w:t>本期数</w:t>
            </w:r>
          </w:p>
        </w:tc>
        <w:tc>
          <w:tcPr>
            <w:tcW w:w="243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eastAsia" w:ascii="ˎ̥" w:hAnsi="ˎ̥" w:eastAsia="宋体" w:cs="Arial"/>
                <w:b/>
                <w:bCs/>
                <w:color w:val="000000"/>
                <w:kern w:val="0"/>
                <w:sz w:val="16"/>
                <w:szCs w:val="16"/>
              </w:rPr>
            </w:pPr>
            <w:r>
              <w:rPr>
                <w:rFonts w:hint="default" w:ascii="ˎ̥" w:hAnsi="ˎ̥" w:eastAsia="宋体" w:cs="Arial"/>
                <w:b/>
                <w:bCs/>
                <w:color w:val="000000"/>
                <w:kern w:val="0"/>
                <w:sz w:val="16"/>
                <w:szCs w:val="16"/>
              </w:rPr>
              <w:t>项目</w:t>
            </w:r>
          </w:p>
        </w:tc>
        <w:tc>
          <w:tcPr>
            <w:tcW w:w="4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ˎ̥" w:hAnsi="ˎ̥" w:eastAsia="宋体" w:cs="Arial"/>
                <w:b/>
                <w:bCs/>
                <w:color w:val="000000"/>
                <w:kern w:val="0"/>
                <w:sz w:val="16"/>
                <w:szCs w:val="16"/>
              </w:rPr>
            </w:pPr>
            <w:r>
              <w:rPr>
                <w:rFonts w:hint="default" w:ascii="ˎ̥" w:hAnsi="ˎ̥" w:eastAsia="宋体" w:cs="Arial"/>
                <w:b/>
                <w:bCs/>
                <w:color w:val="000000"/>
                <w:kern w:val="0"/>
                <w:sz w:val="16"/>
                <w:szCs w:val="16"/>
              </w:rPr>
              <w:t>行次</w:t>
            </w:r>
          </w:p>
        </w:tc>
        <w:tc>
          <w:tcPr>
            <w:tcW w:w="1134"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ˎ̥" w:hAnsi="ˎ̥" w:eastAsia="宋体" w:cs="Arial"/>
                <w:b/>
                <w:bCs/>
                <w:color w:val="000000"/>
                <w:kern w:val="0"/>
                <w:sz w:val="16"/>
                <w:szCs w:val="16"/>
              </w:rPr>
            </w:pPr>
            <w:r>
              <w:rPr>
                <w:rFonts w:hint="default" w:ascii="ˎ̥" w:hAnsi="ˎ̥" w:eastAsia="宋体" w:cs="Arial"/>
                <w:b/>
                <w:bCs/>
                <w:color w:val="000000"/>
                <w:kern w:val="0"/>
                <w:sz w:val="16"/>
                <w:szCs w:val="16"/>
              </w:rPr>
              <w:t>上期数</w:t>
            </w:r>
          </w:p>
        </w:tc>
        <w:tc>
          <w:tcPr>
            <w:tcW w:w="11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ˎ̥" w:hAnsi="ˎ̥" w:eastAsia="宋体" w:cs="Arial"/>
                <w:b/>
                <w:bCs/>
                <w:color w:val="000000"/>
                <w:kern w:val="0"/>
                <w:sz w:val="16"/>
                <w:szCs w:val="16"/>
              </w:rPr>
            </w:pPr>
            <w:r>
              <w:rPr>
                <w:rFonts w:hint="default" w:ascii="ˎ̥" w:hAnsi="ˎ̥" w:eastAsia="宋体" w:cs="Arial"/>
                <w:b/>
                <w:bCs/>
                <w:color w:val="000000"/>
                <w:kern w:val="0"/>
                <w:sz w:val="16"/>
                <w:szCs w:val="16"/>
              </w:rPr>
              <w:t>本期数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560"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一、营业收入</w:t>
            </w:r>
          </w:p>
        </w:tc>
        <w:tc>
          <w:tcPr>
            <w:tcW w:w="42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15,983,941.22</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20019903.73</w:t>
            </w:r>
          </w:p>
        </w:tc>
        <w:tc>
          <w:tcPr>
            <w:tcW w:w="243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二、营业支出</w:t>
            </w:r>
          </w:p>
        </w:tc>
        <w:tc>
          <w:tcPr>
            <w:tcW w:w="403"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15</w:t>
            </w:r>
          </w:p>
        </w:tc>
        <w:tc>
          <w:tcPr>
            <w:tcW w:w="113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14,584,534.92</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21819770.31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560"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（一）利息净收入</w:t>
            </w:r>
          </w:p>
        </w:tc>
        <w:tc>
          <w:tcPr>
            <w:tcW w:w="42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16,464,202.79</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20694220.71</w:t>
            </w:r>
          </w:p>
        </w:tc>
        <w:tc>
          <w:tcPr>
            <w:tcW w:w="243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（一）税金及附加</w:t>
            </w:r>
          </w:p>
        </w:tc>
        <w:tc>
          <w:tcPr>
            <w:tcW w:w="403"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16</w:t>
            </w:r>
          </w:p>
        </w:tc>
        <w:tc>
          <w:tcPr>
            <w:tcW w:w="113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57,270.72</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108903.61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560"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利息收入</w:t>
            </w:r>
          </w:p>
        </w:tc>
        <w:tc>
          <w:tcPr>
            <w:tcW w:w="42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3</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20,458,118.92</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26546007.20</w:t>
            </w:r>
          </w:p>
        </w:tc>
        <w:tc>
          <w:tcPr>
            <w:tcW w:w="243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（二）业务及管理费</w:t>
            </w:r>
          </w:p>
        </w:tc>
        <w:tc>
          <w:tcPr>
            <w:tcW w:w="403"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17</w:t>
            </w:r>
          </w:p>
        </w:tc>
        <w:tc>
          <w:tcPr>
            <w:tcW w:w="113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12,849,939.93</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16280094.03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560"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利息支出</w:t>
            </w:r>
          </w:p>
        </w:tc>
        <w:tc>
          <w:tcPr>
            <w:tcW w:w="42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4</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3,993,916.13</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5851786.49</w:t>
            </w:r>
          </w:p>
        </w:tc>
        <w:tc>
          <w:tcPr>
            <w:tcW w:w="243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（三）资产减值损失或呆账损失（转回金额以"-"号填列）</w:t>
            </w:r>
          </w:p>
        </w:tc>
        <w:tc>
          <w:tcPr>
            <w:tcW w:w="403"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18</w:t>
            </w:r>
          </w:p>
        </w:tc>
        <w:tc>
          <w:tcPr>
            <w:tcW w:w="113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1,677,324.27</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5430772.67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560"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（二）手续费及佣金净收入</w:t>
            </w:r>
          </w:p>
        </w:tc>
        <w:tc>
          <w:tcPr>
            <w:tcW w:w="42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5</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-480,261.57</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-480,261.57</w:t>
            </w:r>
          </w:p>
        </w:tc>
        <w:tc>
          <w:tcPr>
            <w:tcW w:w="243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（四）其他业务成本</w:t>
            </w:r>
          </w:p>
        </w:tc>
        <w:tc>
          <w:tcPr>
            <w:tcW w:w="403"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19</w:t>
            </w:r>
          </w:p>
        </w:tc>
        <w:tc>
          <w:tcPr>
            <w:tcW w:w="113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560"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手续费及佣金收入</w:t>
            </w:r>
          </w:p>
        </w:tc>
        <w:tc>
          <w:tcPr>
            <w:tcW w:w="42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6</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19,411.07</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19,411.07</w:t>
            </w:r>
          </w:p>
        </w:tc>
        <w:tc>
          <w:tcPr>
            <w:tcW w:w="243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三、营业利润（亏损以"-"号填列）</w:t>
            </w:r>
          </w:p>
        </w:tc>
        <w:tc>
          <w:tcPr>
            <w:tcW w:w="403"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20</w:t>
            </w:r>
          </w:p>
        </w:tc>
        <w:tc>
          <w:tcPr>
            <w:tcW w:w="113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1,399,406.30</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-1799866.58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560"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手续费及佣金支出</w:t>
            </w:r>
          </w:p>
        </w:tc>
        <w:tc>
          <w:tcPr>
            <w:tcW w:w="42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7</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highlight w:val="yellow"/>
              </w:rPr>
            </w:pPr>
            <w:r>
              <w:rPr>
                <w:rFonts w:hint="default" w:ascii="Arial" w:hAnsi="Arial" w:eastAsia="宋体" w:cs="Arial"/>
                <w:color w:val="000000"/>
                <w:kern w:val="0"/>
                <w:sz w:val="16"/>
                <w:szCs w:val="16"/>
                <w:highlight w:val="none"/>
              </w:rPr>
              <w:t>499,672.64</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highlight w:val="yellow"/>
                <w:lang w:eastAsia="zh-CN"/>
              </w:rPr>
            </w:pPr>
            <w:r>
              <w:rPr>
                <w:rFonts w:hint="eastAsia" w:ascii="Arial" w:hAnsi="Arial" w:eastAsia="宋体" w:cs="Arial"/>
                <w:color w:val="000000"/>
                <w:kern w:val="0"/>
                <w:sz w:val="16"/>
                <w:szCs w:val="16"/>
                <w:highlight w:val="none"/>
                <w:lang w:val="en-US" w:eastAsia="zh-CN"/>
              </w:rPr>
              <w:t>686846.37</w:t>
            </w:r>
          </w:p>
        </w:tc>
        <w:tc>
          <w:tcPr>
            <w:tcW w:w="243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加：营业外收入</w:t>
            </w:r>
          </w:p>
        </w:tc>
        <w:tc>
          <w:tcPr>
            <w:tcW w:w="403"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21</w:t>
            </w:r>
          </w:p>
        </w:tc>
        <w:tc>
          <w:tcPr>
            <w:tcW w:w="113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4,544,640.00</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3758400.00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560"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（三）投资收益（损失以"-"号填列）</w:t>
            </w:r>
          </w:p>
        </w:tc>
        <w:tc>
          <w:tcPr>
            <w:tcW w:w="42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8</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243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减：营业外支出</w:t>
            </w:r>
          </w:p>
        </w:tc>
        <w:tc>
          <w:tcPr>
            <w:tcW w:w="403"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22</w:t>
            </w:r>
          </w:p>
        </w:tc>
        <w:tc>
          <w:tcPr>
            <w:tcW w:w="113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400,080.04</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5022.20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560"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其中：对联营企业和合营企业的投资收益</w:t>
            </w:r>
          </w:p>
        </w:tc>
        <w:tc>
          <w:tcPr>
            <w:tcW w:w="42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9</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243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四、利润总额（亏损以"-"号填列）</w:t>
            </w:r>
          </w:p>
        </w:tc>
        <w:tc>
          <w:tcPr>
            <w:tcW w:w="403"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23</w:t>
            </w:r>
          </w:p>
        </w:tc>
        <w:tc>
          <w:tcPr>
            <w:tcW w:w="113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5,543,966.26</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1953511.22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560"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（四）公允价值变动收益（损失以"-"号填列）</w:t>
            </w:r>
          </w:p>
        </w:tc>
        <w:tc>
          <w:tcPr>
            <w:tcW w:w="42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243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减：所得税费用</w:t>
            </w:r>
          </w:p>
        </w:tc>
        <w:tc>
          <w:tcPr>
            <w:tcW w:w="403"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24</w:t>
            </w:r>
          </w:p>
        </w:tc>
        <w:tc>
          <w:tcPr>
            <w:tcW w:w="113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560"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（五） 汇兑收益（损失以"-"号填列）</w:t>
            </w:r>
          </w:p>
        </w:tc>
        <w:tc>
          <w:tcPr>
            <w:tcW w:w="42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11</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243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五、净利润（亏损以"-"号填列）</w:t>
            </w:r>
          </w:p>
        </w:tc>
        <w:tc>
          <w:tcPr>
            <w:tcW w:w="403"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25</w:t>
            </w:r>
          </w:p>
        </w:tc>
        <w:tc>
          <w:tcPr>
            <w:tcW w:w="113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5,543,966.26</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color w:val="000000"/>
                <w:kern w:val="0"/>
                <w:sz w:val="16"/>
                <w:szCs w:val="16"/>
                <w:lang w:eastAsia="zh-CN"/>
              </w:rPr>
            </w:pPr>
            <w:r>
              <w:rPr>
                <w:rFonts w:hint="eastAsia" w:ascii="Arial" w:hAnsi="Arial" w:eastAsia="宋体" w:cs="Arial"/>
                <w:color w:val="000000"/>
                <w:kern w:val="0"/>
                <w:sz w:val="16"/>
                <w:szCs w:val="16"/>
                <w:lang w:val="en-US" w:eastAsia="zh-CN"/>
              </w:rPr>
              <w:t>1953511.22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560"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（六）其他收益</w:t>
            </w:r>
          </w:p>
        </w:tc>
        <w:tc>
          <w:tcPr>
            <w:tcW w:w="42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12</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243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六、每股收益：</w:t>
            </w:r>
          </w:p>
        </w:tc>
        <w:tc>
          <w:tcPr>
            <w:tcW w:w="403"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26</w:t>
            </w:r>
          </w:p>
        </w:tc>
        <w:tc>
          <w:tcPr>
            <w:tcW w:w="113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560"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（七）其他业务收入</w:t>
            </w:r>
          </w:p>
        </w:tc>
        <w:tc>
          <w:tcPr>
            <w:tcW w:w="42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13</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243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（一）基本每股收益</w:t>
            </w:r>
          </w:p>
        </w:tc>
        <w:tc>
          <w:tcPr>
            <w:tcW w:w="403"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27</w:t>
            </w:r>
          </w:p>
        </w:tc>
        <w:tc>
          <w:tcPr>
            <w:tcW w:w="113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560" w:type="dxa"/>
            <w:gridSpan w:val="3"/>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（八）资产处置收益</w:t>
            </w:r>
          </w:p>
        </w:tc>
        <w:tc>
          <w:tcPr>
            <w:tcW w:w="42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14</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276"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2432" w:type="dxa"/>
            <w:gridSpan w:val="4"/>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16"/>
                <w:szCs w:val="16"/>
              </w:rPr>
            </w:pPr>
            <w:r>
              <w:rPr>
                <w:rFonts w:hint="default" w:ascii="Arial" w:hAnsi="Arial" w:eastAsia="宋体" w:cs="Arial"/>
                <w:color w:val="000000"/>
                <w:kern w:val="0"/>
                <w:sz w:val="16"/>
                <w:szCs w:val="16"/>
              </w:rPr>
              <w:t>（二）稀释每股收益</w:t>
            </w:r>
          </w:p>
        </w:tc>
        <w:tc>
          <w:tcPr>
            <w:tcW w:w="403"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28</w:t>
            </w:r>
          </w:p>
        </w:tc>
        <w:tc>
          <w:tcPr>
            <w:tcW w:w="1134"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color w:val="000000"/>
                <w:kern w:val="0"/>
                <w:sz w:val="16"/>
                <w:szCs w:val="16"/>
              </w:rPr>
            </w:pPr>
            <w:r>
              <w:rPr>
                <w:rFonts w:hint="default" w:ascii="Arial" w:hAnsi="Arial" w:eastAsia="宋体" w:cs="Arial"/>
                <w:color w:val="000000"/>
                <w:kern w:val="0"/>
                <w:sz w:val="16"/>
                <w:szCs w:val="16"/>
              </w:rPr>
              <w:t>0.00</w:t>
            </w:r>
          </w:p>
        </w:tc>
      </w:tr>
    </w:tbl>
    <w:p>
      <w:pPr>
        <w:pStyle w:val="3"/>
        <w:spacing w:line="322" w:lineRule="atLeast"/>
        <w:jc w:val="both"/>
        <w:rPr>
          <w:rStyle w:val="10"/>
          <w:rFonts w:ascii="Arial" w:hAnsi="Arial" w:eastAsia="微软雅黑" w:cs="Arial"/>
          <w:b/>
          <w:bCs/>
          <w:color w:val="404040"/>
        </w:rPr>
      </w:pPr>
    </w:p>
    <w:p>
      <w:pPr>
        <w:pStyle w:val="3"/>
        <w:spacing w:line="322" w:lineRule="atLeast"/>
        <w:jc w:val="both"/>
        <w:rPr>
          <w:rFonts w:ascii="微软雅黑" w:hAnsi="微软雅黑" w:eastAsia="微软雅黑"/>
          <w:color w:val="404040"/>
          <w:sz w:val="15"/>
          <w:szCs w:val="15"/>
        </w:rPr>
      </w:pPr>
      <w:r>
        <w:rPr>
          <w:rStyle w:val="10"/>
          <w:rFonts w:ascii="Arial" w:hAnsi="Arial" w:eastAsia="微软雅黑" w:cs="Arial"/>
          <w:b/>
          <w:bCs/>
          <w:color w:val="404040"/>
        </w:rPr>
        <w:t>   </w:t>
      </w:r>
      <w:r>
        <w:rPr>
          <w:rStyle w:val="11"/>
          <w:rFonts w:ascii="Arial" w:hAnsi="Arial" w:eastAsia="微软雅黑" w:cs="Arial"/>
          <w:color w:val="404040"/>
        </w:rPr>
        <w:t> </w:t>
      </w:r>
      <w:bookmarkStart w:id="13" w:name="_Toc481080001"/>
      <w:r>
        <w:rPr>
          <w:rStyle w:val="10"/>
          <w:rFonts w:hint="eastAsia" w:cs="Arial"/>
          <w:b w:val="0"/>
          <w:bCs w:val="0"/>
          <w:color w:val="000000"/>
          <w:sz w:val="28"/>
          <w:szCs w:val="28"/>
        </w:rPr>
        <w:t>二、</w:t>
      </w:r>
      <w:bookmarkEnd w:id="13"/>
      <w:r>
        <w:rPr>
          <w:rStyle w:val="10"/>
          <w:rFonts w:hint="eastAsia" w:cs="Arial"/>
          <w:b/>
          <w:bCs/>
          <w:color w:val="000000"/>
          <w:sz w:val="24"/>
          <w:szCs w:val="24"/>
        </w:rPr>
        <w:t>会计报表附注</w:t>
      </w:r>
    </w:p>
    <w:p>
      <w:pPr>
        <w:pStyle w:val="7"/>
        <w:spacing w:before="0" w:beforeAutospacing="0" w:after="0" w:afterAutospacing="0"/>
        <w:jc w:val="both"/>
        <w:rPr>
          <w:rFonts w:hint="eastAsia" w:ascii="仿宋" w:hAnsi="仿宋" w:eastAsia="仿宋" w:cs="仿宋"/>
          <w:color w:val="404040"/>
          <w:sz w:val="30"/>
          <w:szCs w:val="30"/>
        </w:rPr>
      </w:pPr>
      <w:r>
        <w:rPr>
          <w:rStyle w:val="10"/>
          <w:rFonts w:hint="eastAsia" w:ascii="仿宋" w:hAnsi="仿宋" w:eastAsia="仿宋" w:cs="仿宋"/>
          <w:color w:val="000000"/>
          <w:sz w:val="30"/>
          <w:szCs w:val="30"/>
        </w:rPr>
        <w:t>（一）编制基础</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本财务报表按照企业会计准则和《金融企业会计制度》以及其他相关规定编制；本财务报表以持续经营为基础列报；本财务报表编制基础全部符合会计核算基本前提。</w:t>
      </w:r>
    </w:p>
    <w:p>
      <w:pPr>
        <w:pStyle w:val="7"/>
        <w:spacing w:before="0" w:beforeAutospacing="0" w:after="0" w:afterAutospacing="0"/>
        <w:jc w:val="both"/>
        <w:rPr>
          <w:rFonts w:hint="eastAsia" w:ascii="仿宋" w:hAnsi="仿宋" w:eastAsia="仿宋" w:cs="仿宋"/>
          <w:color w:val="404040"/>
          <w:sz w:val="30"/>
          <w:szCs w:val="30"/>
        </w:rPr>
      </w:pPr>
      <w:r>
        <w:rPr>
          <w:rStyle w:val="10"/>
          <w:rFonts w:hint="eastAsia" w:ascii="仿宋" w:hAnsi="仿宋" w:eastAsia="仿宋" w:cs="仿宋"/>
          <w:color w:val="000000"/>
          <w:sz w:val="30"/>
          <w:szCs w:val="30"/>
        </w:rPr>
        <w:t>（二）重要会计政策和会计估计</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1、会计年度。本行会计年度自公历1月1日起至12月31日止。</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2、记账本位币。本行以人民币为记账本位币。</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3、记账基础和计价原则。本行以权责发生制为基础进行会计确认、计量和报告，特别说明以历史成本为计价原则的除外。资产如果发生减值，则按照相关规定计提相应的减值准备。</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4、贷款的种类和范围。本行的贷款种类包括：抵押贷款、保证贷款、信用贷款、质押贷款；本行的贷款范围有：农、林、牧、渔业、批发和零售业、住宿和餐饮业、制造业、个人贷款等。</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5、投资核算方法。长期股权投资计价和收益确认方法：长期股权投资按取得时的实际成本作为初始投资成本，对被投资企业没有实际控制权的，采用成本法核算。处置长期股权投资时，将投资的账面价值与实际取得价款的差额，作为当期投资损益。</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6、计提各项资产减值准备的范围和方法。</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（1）资产减值准备提取范围。对承担风险和损失的债权和股权资产计提减值准备。</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资产减值准备中的贷款损失准备的计提范围为本行承担风险和损失的各项贷款。其他资产减值准备计提的范围为除各项贷款以外的其他风险资产。</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（2）资产减值准备提取比例及方法</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贷款损失准备按贷款风险五级分类的标准提取贷款损失准备，贷款损失准备计提比例为关注类2％、次级类25%、可疑类50%、损失类100%，对特定国家、地区或行业发放的贷款，根据的风险程度和回收可能性，分析确定各类信贷资产应计提特种准备。</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经批准核销的呆账贷款，冲销贷款损失准备金；已冲销的损失呆账贷款，以后又收回的，按已冲销的贷款损失准备金予以转回。</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7、收入确认原则和方法</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1）利息收入。按照财政部《关于调整金融企业应收利息核算办法的通知》财金［2001］25号和《关于缩短金融企业应收利息核算期限的通知》（财金[2002]5号的规定确认和计量。发放的贷款到期（含展期，下同）90天及以上尚未收回的，其应计利息停止计入当期利息收入，纳入表外核算；其已计提的利息收入，在贷款到期90天后仍未收回的，或在应收利息逾期90天后仍未收到的，冲减原已计入损益的利息收入，转作表外核算。表外核算的应计利息，在实际收到时确认为收款期的利息收入。</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（2）中间业务收入。包括支付结算手续费收入、代理业务手续费收入等，在交易已经完成，实际收到款项时确认中间业务收入。</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（3）其他业务收入。均在实际收到款项时确认收入。</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8、衍生金融工具的计价方法。截至本财务报表批准报出日止，本行没有衍生金融工具，暂无相关计价方法。</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9、外币业务和报表折算方法。截至本财务报表批准报出日止，本行没有外币业务和报表，暂无折算方法。</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10、合并会计报表的编制方法。本行会计报表按照企业会计准则进行编制。</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11、固定资产计价和折旧方法。固定资产是指使用年限在1年（不含1年）以上，单位价值在</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000元（含）以上，并在使用过程中保持原有物质形态的资产，包括房屋及建筑物、电子设备、运输设备、机器设备、办公设备及其他等。固定资产按购置或新建时的原始成本计价。固定资产折旧采用直线法计算，按原价减去5%的净残值在分类折旧年限内平均计提。固定资产的类别、分类折旧年限列示如下：</w:t>
      </w:r>
    </w:p>
    <w:tbl>
      <w:tblPr>
        <w:tblStyle w:val="8"/>
        <w:tblW w:w="824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909"/>
        <w:gridCol w:w="2587"/>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trPr>
        <w:tc>
          <w:tcPr>
            <w:tcW w:w="2909" w:type="dxa"/>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固定资产类别</w:t>
            </w:r>
          </w:p>
        </w:tc>
        <w:tc>
          <w:tcPr>
            <w:tcW w:w="2587" w:type="dxa"/>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　预计使用年限 （年）</w:t>
            </w:r>
          </w:p>
        </w:tc>
        <w:tc>
          <w:tcPr>
            <w:tcW w:w="2750" w:type="dxa"/>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　年折旧率（%）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909" w:type="dxa"/>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房屋及建筑物</w:t>
            </w:r>
          </w:p>
        </w:tc>
        <w:tc>
          <w:tcPr>
            <w:tcW w:w="2587" w:type="dxa"/>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20年</w:t>
            </w:r>
          </w:p>
        </w:tc>
        <w:tc>
          <w:tcPr>
            <w:tcW w:w="2750" w:type="dxa"/>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trPr>
        <w:tc>
          <w:tcPr>
            <w:tcW w:w="2909" w:type="dxa"/>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运输工具</w:t>
            </w:r>
          </w:p>
        </w:tc>
        <w:tc>
          <w:tcPr>
            <w:tcW w:w="2587" w:type="dxa"/>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4年</w:t>
            </w:r>
          </w:p>
        </w:tc>
        <w:tc>
          <w:tcPr>
            <w:tcW w:w="2750" w:type="dxa"/>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23.75%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trPr>
        <w:tc>
          <w:tcPr>
            <w:tcW w:w="2909" w:type="dxa"/>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办公设备及其他</w:t>
            </w:r>
          </w:p>
        </w:tc>
        <w:tc>
          <w:tcPr>
            <w:tcW w:w="2587" w:type="dxa"/>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3年至5年</w:t>
            </w:r>
          </w:p>
        </w:tc>
        <w:tc>
          <w:tcPr>
            <w:tcW w:w="2750" w:type="dxa"/>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31.67%至19.00%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trPr>
        <w:tc>
          <w:tcPr>
            <w:tcW w:w="2909" w:type="dxa"/>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Times New Roman" w:hAnsi="Times New Roman" w:eastAsia="微软雅黑" w:cs="Times New Roman"/>
                <w:color w:val="404040"/>
                <w:sz w:val="21"/>
                <w:szCs w:val="21"/>
                <w:lang w:val="en-US" w:eastAsia="zh-CN"/>
              </w:rPr>
            </w:pPr>
            <w:r>
              <w:rPr>
                <w:rFonts w:hint="eastAsia" w:ascii="Times New Roman" w:hAnsi="Times New Roman" w:eastAsia="微软雅黑" w:cs="Times New Roman"/>
                <w:color w:val="404040"/>
                <w:sz w:val="21"/>
                <w:szCs w:val="21"/>
                <w:lang w:val="en-US" w:eastAsia="zh-CN"/>
              </w:rPr>
              <w:t>电子设备</w:t>
            </w:r>
          </w:p>
        </w:tc>
        <w:tc>
          <w:tcPr>
            <w:tcW w:w="2587" w:type="dxa"/>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eastAsia="宋体" w:cs="Times New Roman"/>
                <w:color w:val="000000"/>
                <w:sz w:val="16"/>
                <w:szCs w:val="16"/>
                <w:lang w:val="en-US" w:eastAsia="zh-CN"/>
              </w:rPr>
            </w:pPr>
            <w:r>
              <w:rPr>
                <w:rFonts w:hint="eastAsia" w:cs="Times New Roman"/>
                <w:color w:val="000000"/>
                <w:sz w:val="16"/>
                <w:szCs w:val="16"/>
                <w:lang w:val="en-US" w:eastAsia="zh-CN"/>
              </w:rPr>
              <w:t>3年</w:t>
            </w:r>
          </w:p>
        </w:tc>
        <w:tc>
          <w:tcPr>
            <w:tcW w:w="2750" w:type="dxa"/>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cs="Times New Roman"/>
                <w:color w:val="000000"/>
                <w:sz w:val="16"/>
                <w:szCs w:val="16"/>
              </w:rPr>
            </w:pPr>
            <w:r>
              <w:rPr>
                <w:rFonts w:hint="eastAsia" w:cs="Times New Roman"/>
                <w:color w:val="000000"/>
                <w:sz w:val="16"/>
                <w:szCs w:val="16"/>
              </w:rPr>
              <w:t>31.67%</w:t>
            </w:r>
          </w:p>
        </w:tc>
      </w:tr>
    </w:tbl>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12、无形资产计价及摊销政策。无形资产是指本行拥有或者控制的没有实物形态的可辨认非货币性资产，本行的无形资产为应用软件，按十年进行摊销。</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13、长期待摊费用的摊销政策。长期待摊费用是指不能全部计入当期损益，应当在以后年度分期摊销的各项费用。本行递延资产主要包括摊销期限在一年及以上的经营用监控设备款及装修款，以实际发生额核算，按预计受益期限平均摊销。</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14、所得税的会计处理方法。本行采用应付税款法核算所得税。按照当期计算的应交所得税确认为当期所得税费用。对企业所得税年度汇算清缴产生的与上一会计年度计算的应交所得税之间的差额调整汇算清缴年度的所得税费用和应交所得税。</w:t>
      </w:r>
    </w:p>
    <w:p>
      <w:pPr>
        <w:pStyle w:val="7"/>
        <w:spacing w:before="0" w:beforeAutospacing="0" w:after="0" w:afterAutospacing="0"/>
        <w:jc w:val="both"/>
        <w:rPr>
          <w:rFonts w:hint="eastAsia" w:ascii="仿宋" w:hAnsi="仿宋" w:eastAsia="仿宋" w:cs="仿宋"/>
          <w:color w:val="404040"/>
          <w:sz w:val="30"/>
          <w:szCs w:val="30"/>
        </w:rPr>
      </w:pPr>
      <w:r>
        <w:rPr>
          <w:rStyle w:val="10"/>
          <w:rFonts w:hint="eastAsia" w:ascii="仿宋" w:hAnsi="仿宋" w:eastAsia="仿宋" w:cs="仿宋"/>
          <w:color w:val="000000"/>
          <w:sz w:val="30"/>
          <w:szCs w:val="30"/>
        </w:rPr>
        <w:t>（三）财务报表主要项目附注</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注：除有特别说明外，以下财务报表主要项目附注的金额单位为：人民币万元</w:t>
      </w:r>
    </w:p>
    <w:p>
      <w:pPr>
        <w:pStyle w:val="7"/>
        <w:spacing w:before="0" w:beforeAutospacing="0" w:after="0" w:afterAutospacing="0"/>
        <w:jc w:val="both"/>
        <w:rPr>
          <w:rFonts w:ascii="微软雅黑" w:hAnsi="微软雅黑" w:eastAsia="微软雅黑"/>
          <w:color w:val="404040"/>
          <w:sz w:val="15"/>
          <w:szCs w:val="15"/>
        </w:rPr>
      </w:pPr>
      <w:r>
        <w:rPr>
          <w:rFonts w:hint="eastAsia" w:ascii="微软雅黑" w:hAnsi="微软雅黑" w:eastAsia="微软雅黑"/>
          <w:color w:val="404040"/>
          <w:sz w:val="15"/>
          <w:szCs w:val="15"/>
        </w:rPr>
        <w:t> </w:t>
      </w:r>
    </w:p>
    <w:p>
      <w:pPr>
        <w:pStyle w:val="7"/>
        <w:spacing w:before="0" w:beforeAutospacing="0" w:after="0" w:afterAutospacing="0"/>
        <w:jc w:val="both"/>
        <w:rPr>
          <w:rFonts w:ascii="微软雅黑" w:hAnsi="微软雅黑" w:eastAsia="微软雅黑"/>
          <w:color w:val="404040"/>
          <w:sz w:val="15"/>
          <w:szCs w:val="15"/>
        </w:rPr>
      </w:pPr>
      <w:r>
        <w:rPr>
          <w:rFonts w:hint="eastAsia" w:cs="Times New Roman"/>
          <w:color w:val="000000"/>
        </w:rPr>
        <w:t>1．同业款项</w:t>
      </w:r>
    </w:p>
    <w:tbl>
      <w:tblPr>
        <w:tblStyle w:val="8"/>
        <w:tblW w:w="84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95"/>
        <w:gridCol w:w="4136"/>
        <w:gridCol w:w="2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jc w:val="center"/>
        </w:trPr>
        <w:tc>
          <w:tcPr>
            <w:tcW w:w="149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项       目</w:t>
            </w:r>
          </w:p>
        </w:tc>
        <w:tc>
          <w:tcPr>
            <w:tcW w:w="413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201</w:t>
            </w:r>
            <w:r>
              <w:rPr>
                <w:rFonts w:hint="eastAsia" w:cs="Times New Roman"/>
                <w:color w:val="000000"/>
                <w:sz w:val="16"/>
                <w:szCs w:val="16"/>
                <w:lang w:val="en-US" w:eastAsia="zh-CN"/>
              </w:rPr>
              <w:t>8</w:t>
            </w:r>
            <w:r>
              <w:rPr>
                <w:rFonts w:hint="eastAsia" w:cs="Times New Roman"/>
                <w:color w:val="000000"/>
                <w:sz w:val="16"/>
                <w:szCs w:val="16"/>
              </w:rPr>
              <w:t>年12月31日</w:t>
            </w:r>
          </w:p>
        </w:tc>
        <w:tc>
          <w:tcPr>
            <w:tcW w:w="284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201</w:t>
            </w:r>
            <w:r>
              <w:rPr>
                <w:rFonts w:hint="eastAsia" w:cs="Times New Roman"/>
                <w:color w:val="000000"/>
                <w:sz w:val="16"/>
                <w:szCs w:val="16"/>
                <w:lang w:val="en-US" w:eastAsia="zh-CN"/>
              </w:rPr>
              <w:t>9</w:t>
            </w:r>
            <w:r>
              <w:rPr>
                <w:rFonts w:hint="eastAsia" w:cs="Times New Roman"/>
                <w:color w:val="000000"/>
                <w:sz w:val="16"/>
                <w:szCs w:val="16"/>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jc w:val="center"/>
        </w:trPr>
        <w:tc>
          <w:tcPr>
            <w:tcW w:w="149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000000"/>
                <w:sz w:val="16"/>
                <w:szCs w:val="16"/>
              </w:rPr>
              <w:t>存放境内同业款项</w:t>
            </w:r>
          </w:p>
        </w:tc>
        <w:tc>
          <w:tcPr>
            <w:tcW w:w="413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highlight w:val="none"/>
              </w:rPr>
            </w:pPr>
            <w:r>
              <w:rPr>
                <w:rFonts w:hint="eastAsia" w:cs="Times New Roman"/>
                <w:color w:val="404040"/>
                <w:sz w:val="16"/>
                <w:szCs w:val="16"/>
                <w:highlight w:val="none"/>
              </w:rPr>
              <w:t>                    </w:t>
            </w:r>
            <w:r>
              <w:rPr>
                <w:rFonts w:hint="eastAsia" w:cs="Times New Roman"/>
                <w:color w:val="404040"/>
                <w:sz w:val="16"/>
                <w:szCs w:val="16"/>
                <w:highlight w:val="none"/>
                <w:lang w:val="en-US" w:eastAsia="zh-CN"/>
              </w:rPr>
              <w:t>7446.86</w:t>
            </w:r>
          </w:p>
        </w:tc>
        <w:tc>
          <w:tcPr>
            <w:tcW w:w="284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eastAsia="zh-CN"/>
              </w:rPr>
            </w:pPr>
            <w:r>
              <w:rPr>
                <w:rFonts w:hint="eastAsia" w:eastAsia="微软雅黑" w:cs="Times New Roman"/>
                <w:color w:val="404040"/>
                <w:sz w:val="16"/>
                <w:szCs w:val="16"/>
                <w:highlight w:val="none"/>
                <w:lang w:val="en-US" w:eastAsia="zh-CN"/>
              </w:rPr>
              <w:t>9479.38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jc w:val="center"/>
        </w:trPr>
        <w:tc>
          <w:tcPr>
            <w:tcW w:w="149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000000"/>
                <w:sz w:val="16"/>
                <w:szCs w:val="16"/>
              </w:rPr>
              <w:t>存放境外同业款项</w:t>
            </w:r>
          </w:p>
        </w:tc>
        <w:tc>
          <w:tcPr>
            <w:tcW w:w="413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rPr>
            </w:pPr>
            <w:r>
              <w:rPr>
                <w:rFonts w:hint="eastAsia" w:cs="Times New Roman"/>
                <w:color w:val="000000"/>
                <w:sz w:val="16"/>
                <w:szCs w:val="16"/>
              </w:rPr>
              <w:t>0</w:t>
            </w:r>
          </w:p>
        </w:tc>
        <w:tc>
          <w:tcPr>
            <w:tcW w:w="284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rPr>
            </w:pPr>
            <w:r>
              <w:rPr>
                <w:rFonts w:hint="eastAsia" w:cs="Times New Roman"/>
                <w:color w:val="000000"/>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jc w:val="center"/>
        </w:trPr>
        <w:tc>
          <w:tcPr>
            <w:tcW w:w="149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000000"/>
                <w:sz w:val="16"/>
                <w:szCs w:val="16"/>
              </w:rPr>
              <w:t>拆放境内同业款项</w:t>
            </w:r>
          </w:p>
        </w:tc>
        <w:tc>
          <w:tcPr>
            <w:tcW w:w="413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rPr>
            </w:pPr>
            <w:r>
              <w:rPr>
                <w:rFonts w:hint="eastAsia" w:cs="Times New Roman"/>
                <w:color w:val="000000"/>
                <w:sz w:val="16"/>
                <w:szCs w:val="16"/>
              </w:rPr>
              <w:t>0</w:t>
            </w:r>
          </w:p>
        </w:tc>
        <w:tc>
          <w:tcPr>
            <w:tcW w:w="284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rPr>
            </w:pPr>
            <w:r>
              <w:rPr>
                <w:rFonts w:hint="eastAsia" w:cs="Times New Roman"/>
                <w:color w:val="000000"/>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jc w:val="center"/>
        </w:trPr>
        <w:tc>
          <w:tcPr>
            <w:tcW w:w="149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000000"/>
                <w:sz w:val="16"/>
                <w:szCs w:val="16"/>
              </w:rPr>
              <w:t>拆放境外同业款项</w:t>
            </w:r>
          </w:p>
        </w:tc>
        <w:tc>
          <w:tcPr>
            <w:tcW w:w="413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rPr>
            </w:pPr>
            <w:r>
              <w:rPr>
                <w:rFonts w:hint="eastAsia" w:cs="Times New Roman"/>
                <w:color w:val="000000"/>
                <w:sz w:val="16"/>
                <w:szCs w:val="16"/>
              </w:rPr>
              <w:t>0</w:t>
            </w:r>
          </w:p>
        </w:tc>
        <w:tc>
          <w:tcPr>
            <w:tcW w:w="284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rPr>
            </w:pPr>
            <w:r>
              <w:rPr>
                <w:rFonts w:hint="eastAsia" w:cs="Times New Roman"/>
                <w:color w:val="000000"/>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jc w:val="center"/>
        </w:trPr>
        <w:tc>
          <w:tcPr>
            <w:tcW w:w="149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000000"/>
                <w:sz w:val="16"/>
                <w:szCs w:val="16"/>
              </w:rPr>
              <w:t>境内同业拆入款项</w:t>
            </w:r>
          </w:p>
        </w:tc>
        <w:tc>
          <w:tcPr>
            <w:tcW w:w="413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rPr>
            </w:pPr>
            <w:r>
              <w:rPr>
                <w:rFonts w:hint="eastAsia" w:cs="Times New Roman"/>
                <w:color w:val="000000"/>
                <w:sz w:val="16"/>
                <w:szCs w:val="16"/>
              </w:rPr>
              <w:t>0</w:t>
            </w:r>
          </w:p>
        </w:tc>
        <w:tc>
          <w:tcPr>
            <w:tcW w:w="284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rPr>
            </w:pPr>
            <w:r>
              <w:rPr>
                <w:rFonts w:hint="eastAsia" w:cs="Times New Roman"/>
                <w:color w:val="000000"/>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jc w:val="center"/>
        </w:trPr>
        <w:tc>
          <w:tcPr>
            <w:tcW w:w="149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000000"/>
                <w:sz w:val="16"/>
                <w:szCs w:val="16"/>
              </w:rPr>
              <w:t>境外同业拆入款项</w:t>
            </w:r>
          </w:p>
        </w:tc>
        <w:tc>
          <w:tcPr>
            <w:tcW w:w="4136"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rPr>
            </w:pPr>
            <w:r>
              <w:rPr>
                <w:rFonts w:hint="eastAsia" w:cs="Times New Roman"/>
                <w:color w:val="000000"/>
                <w:sz w:val="16"/>
                <w:szCs w:val="16"/>
              </w:rPr>
              <w:t>0</w:t>
            </w:r>
          </w:p>
        </w:tc>
        <w:tc>
          <w:tcPr>
            <w:tcW w:w="2847" w:type="dxa"/>
            <w:tcBorders>
              <w:top w:val="single" w:color="auto" w:sz="4" w:space="0"/>
              <w:left w:val="single" w:color="auto" w:sz="4" w:space="0"/>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rPr>
            </w:pPr>
            <w:r>
              <w:rPr>
                <w:rFonts w:hint="eastAsia" w:cs="Times New Roman"/>
                <w:color w:val="000000"/>
                <w:sz w:val="16"/>
                <w:szCs w:val="16"/>
              </w:rPr>
              <w:t>0</w:t>
            </w:r>
          </w:p>
        </w:tc>
      </w:tr>
    </w:tbl>
    <w:p>
      <w:pPr>
        <w:pStyle w:val="7"/>
        <w:spacing w:before="0" w:beforeAutospacing="0" w:after="0" w:afterAutospacing="0"/>
        <w:jc w:val="both"/>
        <w:rPr>
          <w:rFonts w:ascii="微软雅黑" w:hAnsi="微软雅黑" w:eastAsia="微软雅黑"/>
          <w:color w:val="404040"/>
          <w:sz w:val="15"/>
          <w:szCs w:val="15"/>
        </w:rPr>
      </w:pPr>
      <w:r>
        <w:rPr>
          <w:rFonts w:hint="eastAsia" w:cs="Times New Roman"/>
          <w:color w:val="000000"/>
        </w:rPr>
        <w:t>2．按发放贷款的担保方式分布情况分析</w:t>
      </w:r>
    </w:p>
    <w:tbl>
      <w:tblPr>
        <w:tblStyle w:val="8"/>
        <w:tblW w:w="85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00"/>
        <w:gridCol w:w="3463"/>
        <w:gridCol w:w="3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项    目</w:t>
            </w:r>
          </w:p>
        </w:tc>
        <w:tc>
          <w:tcPr>
            <w:tcW w:w="34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201</w:t>
            </w:r>
            <w:r>
              <w:rPr>
                <w:rFonts w:hint="eastAsia" w:cs="Times New Roman"/>
                <w:color w:val="000000"/>
                <w:sz w:val="16"/>
                <w:szCs w:val="16"/>
                <w:lang w:val="en-US" w:eastAsia="zh-CN"/>
              </w:rPr>
              <w:t>8</w:t>
            </w:r>
            <w:r>
              <w:rPr>
                <w:rFonts w:hint="eastAsia" w:cs="Times New Roman"/>
                <w:color w:val="000000"/>
                <w:sz w:val="16"/>
                <w:szCs w:val="16"/>
              </w:rPr>
              <w:t>年12月31日</w:t>
            </w:r>
          </w:p>
        </w:tc>
        <w:tc>
          <w:tcPr>
            <w:tcW w:w="31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201</w:t>
            </w:r>
            <w:r>
              <w:rPr>
                <w:rFonts w:hint="eastAsia" w:cs="Times New Roman"/>
                <w:color w:val="000000"/>
                <w:sz w:val="16"/>
                <w:szCs w:val="16"/>
                <w:lang w:val="en-US" w:eastAsia="zh-CN"/>
              </w:rPr>
              <w:t>9</w:t>
            </w:r>
            <w:r>
              <w:rPr>
                <w:rFonts w:hint="eastAsia" w:cs="Times New Roman"/>
                <w:color w:val="000000"/>
                <w:sz w:val="16"/>
                <w:szCs w:val="16"/>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xml:space="preserve">   </w:t>
            </w:r>
            <w:r>
              <w:rPr>
                <w:rFonts w:hint="eastAsia" w:cs="Times New Roman"/>
                <w:color w:val="000000"/>
                <w:sz w:val="16"/>
                <w:szCs w:val="16"/>
              </w:rPr>
              <w:t>信用贷款                             </w:t>
            </w:r>
          </w:p>
        </w:tc>
        <w:tc>
          <w:tcPr>
            <w:tcW w:w="34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val="en-US" w:eastAsia="zh-CN"/>
              </w:rPr>
            </w:pPr>
            <w:r>
              <w:rPr>
                <w:rFonts w:hint="eastAsia" w:ascii="微软雅黑" w:hAnsi="微软雅黑" w:eastAsia="微软雅黑"/>
                <w:color w:val="404040"/>
                <w:sz w:val="15"/>
                <w:szCs w:val="15"/>
                <w:highlight w:val="none"/>
                <w:lang w:val="en-US" w:eastAsia="zh-CN"/>
              </w:rPr>
              <w:t>17483.95</w:t>
            </w:r>
          </w:p>
        </w:tc>
        <w:tc>
          <w:tcPr>
            <w:tcW w:w="31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20675.62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保证贷款                                </w:t>
            </w:r>
          </w:p>
        </w:tc>
        <w:tc>
          <w:tcPr>
            <w:tcW w:w="34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eastAsia="zh-CN"/>
              </w:rPr>
            </w:pPr>
            <w:r>
              <w:rPr>
                <w:rFonts w:hint="eastAsia" w:eastAsia="微软雅黑" w:cs="Times New Roman"/>
                <w:color w:val="404040"/>
                <w:sz w:val="16"/>
                <w:szCs w:val="16"/>
                <w:highlight w:val="none"/>
                <w:lang w:val="en-US" w:eastAsia="zh-CN"/>
              </w:rPr>
              <w:t>5694.62</w:t>
            </w:r>
          </w:p>
        </w:tc>
        <w:tc>
          <w:tcPr>
            <w:tcW w:w="31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5202.35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抵押贷款                     </w:t>
            </w:r>
          </w:p>
        </w:tc>
        <w:tc>
          <w:tcPr>
            <w:tcW w:w="34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right"/>
              <w:rPr>
                <w:rFonts w:hint="eastAsia" w:eastAsia="微软雅黑" w:cs="Times New Roman"/>
                <w:color w:val="404040"/>
                <w:sz w:val="16"/>
                <w:szCs w:val="16"/>
                <w:highlight w:val="none"/>
                <w:lang w:val="en-US" w:eastAsia="zh-CN"/>
              </w:rPr>
            </w:pPr>
            <w:r>
              <w:rPr>
                <w:rFonts w:hint="eastAsia" w:eastAsia="微软雅黑" w:cs="Times New Roman"/>
                <w:color w:val="404040"/>
                <w:sz w:val="16"/>
                <w:szCs w:val="16"/>
                <w:highlight w:val="none"/>
                <w:lang w:val="en-US" w:eastAsia="zh-CN"/>
              </w:rPr>
              <w:t>30.00</w:t>
            </w:r>
          </w:p>
        </w:tc>
        <w:tc>
          <w:tcPr>
            <w:tcW w:w="31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142.00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质押贷款                        </w:t>
            </w:r>
          </w:p>
        </w:tc>
        <w:tc>
          <w:tcPr>
            <w:tcW w:w="34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eastAsia="zh-CN"/>
              </w:rPr>
            </w:pPr>
            <w:r>
              <w:rPr>
                <w:rFonts w:hint="eastAsia" w:eastAsia="微软雅黑" w:cs="Times New Roman"/>
                <w:color w:val="404040"/>
                <w:sz w:val="16"/>
                <w:szCs w:val="16"/>
                <w:highlight w:val="none"/>
                <w:lang w:val="en-US" w:eastAsia="zh-CN"/>
              </w:rPr>
              <w:t>0.00</w:t>
            </w:r>
          </w:p>
        </w:tc>
        <w:tc>
          <w:tcPr>
            <w:tcW w:w="31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197.00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贷款总额                            </w:t>
            </w:r>
          </w:p>
        </w:tc>
        <w:tc>
          <w:tcPr>
            <w:tcW w:w="34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eastAsia="zh-CN"/>
              </w:rPr>
            </w:pPr>
            <w:r>
              <w:rPr>
                <w:rFonts w:hint="eastAsia" w:eastAsia="微软雅黑" w:cs="Times New Roman"/>
                <w:color w:val="404040"/>
                <w:sz w:val="16"/>
                <w:szCs w:val="16"/>
                <w:highlight w:val="none"/>
                <w:lang w:val="en-US" w:eastAsia="zh-CN"/>
              </w:rPr>
              <w:t>23208.57</w:t>
            </w:r>
          </w:p>
        </w:tc>
        <w:tc>
          <w:tcPr>
            <w:tcW w:w="31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26216.97</w:t>
            </w:r>
          </w:p>
        </w:tc>
      </w:tr>
    </w:tbl>
    <w:p>
      <w:pPr>
        <w:pStyle w:val="7"/>
        <w:spacing w:before="0" w:beforeAutospacing="0" w:after="0" w:afterAutospacing="0"/>
        <w:jc w:val="both"/>
        <w:rPr>
          <w:rFonts w:ascii="微软雅黑" w:hAnsi="微软雅黑" w:eastAsia="微软雅黑"/>
          <w:color w:val="404040"/>
          <w:sz w:val="15"/>
          <w:szCs w:val="15"/>
        </w:rPr>
      </w:pPr>
      <w:r>
        <w:rPr>
          <w:rFonts w:hint="eastAsia" w:cs="Times New Roman"/>
          <w:color w:val="000000"/>
        </w:rPr>
        <w:t>3．不良贷款</w:t>
      </w:r>
    </w:p>
    <w:tbl>
      <w:tblPr>
        <w:tblStyle w:val="8"/>
        <w:tblW w:w="86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39"/>
        <w:gridCol w:w="3412"/>
        <w:gridCol w:w="3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0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项    目</w:t>
            </w:r>
          </w:p>
        </w:tc>
        <w:tc>
          <w:tcPr>
            <w:tcW w:w="34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201</w:t>
            </w:r>
            <w:r>
              <w:rPr>
                <w:rFonts w:hint="eastAsia" w:cs="Times New Roman"/>
                <w:color w:val="000000"/>
                <w:sz w:val="16"/>
                <w:szCs w:val="16"/>
                <w:lang w:val="en-US" w:eastAsia="zh-CN"/>
              </w:rPr>
              <w:t>8</w:t>
            </w:r>
            <w:r>
              <w:rPr>
                <w:rFonts w:hint="eastAsia" w:cs="Times New Roman"/>
                <w:color w:val="000000"/>
                <w:sz w:val="16"/>
                <w:szCs w:val="16"/>
              </w:rPr>
              <w:t>年12月31日</w:t>
            </w:r>
          </w:p>
        </w:tc>
        <w:tc>
          <w:tcPr>
            <w:tcW w:w="32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201</w:t>
            </w:r>
            <w:r>
              <w:rPr>
                <w:rFonts w:hint="eastAsia" w:cs="Times New Roman"/>
                <w:color w:val="000000"/>
                <w:sz w:val="16"/>
                <w:szCs w:val="16"/>
                <w:lang w:val="en-US" w:eastAsia="zh-CN"/>
              </w:rPr>
              <w:t>9</w:t>
            </w:r>
            <w:r>
              <w:rPr>
                <w:rFonts w:hint="eastAsia" w:cs="Times New Roman"/>
                <w:color w:val="000000"/>
                <w:sz w:val="16"/>
                <w:szCs w:val="16"/>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0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000000"/>
                <w:sz w:val="16"/>
                <w:szCs w:val="16"/>
              </w:rPr>
              <w:t>不良贷款</w:t>
            </w:r>
          </w:p>
        </w:tc>
        <w:tc>
          <w:tcPr>
            <w:tcW w:w="34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eastAsia="zh-CN"/>
              </w:rPr>
            </w:pPr>
            <w:r>
              <w:rPr>
                <w:rFonts w:hint="eastAsia" w:eastAsia="微软雅黑" w:cs="Times New Roman"/>
                <w:color w:val="404040"/>
                <w:sz w:val="16"/>
                <w:szCs w:val="16"/>
                <w:highlight w:val="none"/>
                <w:lang w:val="en-US" w:eastAsia="zh-CN"/>
              </w:rPr>
              <w:t>281.62</w:t>
            </w:r>
          </w:p>
        </w:tc>
        <w:tc>
          <w:tcPr>
            <w:tcW w:w="32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762.31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0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其中：次级贷款</w:t>
            </w:r>
          </w:p>
        </w:tc>
        <w:tc>
          <w:tcPr>
            <w:tcW w:w="34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eastAsia="zh-CN"/>
              </w:rPr>
            </w:pPr>
            <w:r>
              <w:rPr>
                <w:rFonts w:hint="eastAsia" w:eastAsia="微软雅黑" w:cs="Times New Roman"/>
                <w:color w:val="404040"/>
                <w:sz w:val="16"/>
                <w:szCs w:val="16"/>
                <w:highlight w:val="none"/>
                <w:lang w:val="en-US" w:eastAsia="zh-CN"/>
              </w:rPr>
              <w:t>8.00</w:t>
            </w:r>
          </w:p>
        </w:tc>
        <w:tc>
          <w:tcPr>
            <w:tcW w:w="32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 w:hRule="atLeast"/>
          <w:jc w:val="center"/>
        </w:trPr>
        <w:tc>
          <w:tcPr>
            <w:tcW w:w="20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可疑贷款</w:t>
            </w:r>
          </w:p>
        </w:tc>
        <w:tc>
          <w:tcPr>
            <w:tcW w:w="34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eastAsia="zh-CN"/>
              </w:rPr>
            </w:pPr>
            <w:r>
              <w:rPr>
                <w:rFonts w:hint="eastAsia" w:eastAsia="微软雅黑" w:cs="Times New Roman"/>
                <w:color w:val="404040"/>
                <w:sz w:val="16"/>
                <w:szCs w:val="16"/>
                <w:highlight w:val="none"/>
                <w:lang w:val="en-US" w:eastAsia="zh-CN"/>
              </w:rPr>
              <w:t>273.62</w:t>
            </w:r>
          </w:p>
        </w:tc>
        <w:tc>
          <w:tcPr>
            <w:tcW w:w="32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753.31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8" w:hRule="atLeast"/>
          <w:jc w:val="center"/>
        </w:trPr>
        <w:tc>
          <w:tcPr>
            <w:tcW w:w="20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损失贷款</w:t>
            </w:r>
          </w:p>
        </w:tc>
        <w:tc>
          <w:tcPr>
            <w:tcW w:w="34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rPr>
            </w:pPr>
            <w:r>
              <w:rPr>
                <w:rFonts w:hint="eastAsia" w:cs="Times New Roman"/>
                <w:color w:val="000000"/>
                <w:sz w:val="16"/>
                <w:szCs w:val="16"/>
              </w:rPr>
              <w:t>                         - </w:t>
            </w:r>
          </w:p>
        </w:tc>
        <w:tc>
          <w:tcPr>
            <w:tcW w:w="323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rPr>
            </w:pPr>
            <w:r>
              <w:rPr>
                <w:rFonts w:hint="eastAsia" w:cs="Times New Roman"/>
                <w:color w:val="000000"/>
                <w:sz w:val="16"/>
                <w:szCs w:val="16"/>
              </w:rPr>
              <w:t> -</w:t>
            </w:r>
          </w:p>
        </w:tc>
      </w:tr>
    </w:tbl>
    <w:p>
      <w:pPr>
        <w:pStyle w:val="7"/>
        <w:spacing w:before="0" w:beforeAutospacing="0" w:after="0" w:afterAutospacing="0"/>
        <w:jc w:val="both"/>
        <w:rPr>
          <w:rFonts w:ascii="微软雅黑" w:hAnsi="微软雅黑" w:eastAsia="微软雅黑"/>
          <w:color w:val="404040"/>
          <w:sz w:val="15"/>
          <w:szCs w:val="15"/>
        </w:rPr>
      </w:pPr>
      <w:r>
        <w:rPr>
          <w:rFonts w:hint="eastAsia" w:cs="Times New Roman"/>
          <w:color w:val="000000"/>
        </w:rPr>
        <w:t>4．贷款损失准备</w:t>
      </w:r>
    </w:p>
    <w:tbl>
      <w:tblPr>
        <w:tblStyle w:val="8"/>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755"/>
        <w:gridCol w:w="2812"/>
        <w:gridCol w:w="2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755" w:type="dxa"/>
            <w:tcBorders>
              <w:top w:val="single" w:color="DDDDDD" w:sz="8" w:space="0"/>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项    目</w:t>
            </w:r>
          </w:p>
        </w:tc>
        <w:tc>
          <w:tcPr>
            <w:tcW w:w="2812" w:type="dxa"/>
            <w:tcBorders>
              <w:top w:val="single" w:color="DDDDDD" w:sz="8" w:space="0"/>
              <w:left w:val="single" w:color="auto"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201</w:t>
            </w:r>
            <w:r>
              <w:rPr>
                <w:rFonts w:hint="eastAsia" w:cs="Times New Roman"/>
                <w:color w:val="000000"/>
                <w:sz w:val="16"/>
                <w:szCs w:val="16"/>
                <w:lang w:val="en-US" w:eastAsia="zh-CN"/>
              </w:rPr>
              <w:t>8</w:t>
            </w:r>
            <w:r>
              <w:rPr>
                <w:rFonts w:hint="eastAsia" w:cs="Times New Roman"/>
                <w:color w:val="000000"/>
                <w:sz w:val="16"/>
                <w:szCs w:val="16"/>
              </w:rPr>
              <w:t>年12月31日</w:t>
            </w:r>
          </w:p>
        </w:tc>
        <w:tc>
          <w:tcPr>
            <w:tcW w:w="2955" w:type="dxa"/>
            <w:tcBorders>
              <w:top w:val="single" w:color="DDDDDD" w:sz="8" w:space="0"/>
              <w:left w:val="single" w:color="auto"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201</w:t>
            </w:r>
            <w:r>
              <w:rPr>
                <w:rFonts w:hint="eastAsia" w:cs="Times New Roman"/>
                <w:color w:val="000000"/>
                <w:sz w:val="16"/>
                <w:szCs w:val="16"/>
                <w:lang w:val="en-US" w:eastAsia="zh-CN"/>
              </w:rPr>
              <w:t>9</w:t>
            </w:r>
            <w:r>
              <w:rPr>
                <w:rFonts w:hint="eastAsia" w:cs="Times New Roman"/>
                <w:color w:val="000000"/>
                <w:sz w:val="16"/>
                <w:szCs w:val="16"/>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755" w:type="dxa"/>
            <w:tcBorders>
              <w:top w:val="nil"/>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年初余额                          </w:t>
            </w:r>
          </w:p>
        </w:tc>
        <w:tc>
          <w:tcPr>
            <w:tcW w:w="2812"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eastAsia="zh-CN"/>
              </w:rPr>
            </w:pPr>
            <w:r>
              <w:rPr>
                <w:rFonts w:hint="eastAsia" w:eastAsia="微软雅黑" w:cs="Times New Roman"/>
                <w:color w:val="404040"/>
                <w:sz w:val="16"/>
                <w:szCs w:val="16"/>
                <w:highlight w:val="none"/>
                <w:lang w:val="en-US" w:eastAsia="zh-CN"/>
              </w:rPr>
              <w:t>435.69</w:t>
            </w:r>
          </w:p>
        </w:tc>
        <w:tc>
          <w:tcPr>
            <w:tcW w:w="2955"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603.42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755" w:type="dxa"/>
            <w:tcBorders>
              <w:top w:val="nil"/>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000000"/>
                <w:sz w:val="16"/>
                <w:szCs w:val="16"/>
              </w:rPr>
              <w:t>其中：一般准备</w:t>
            </w:r>
          </w:p>
        </w:tc>
        <w:tc>
          <w:tcPr>
            <w:tcW w:w="2812"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val="en-US" w:eastAsia="zh-CN"/>
              </w:rPr>
            </w:pPr>
            <w:r>
              <w:rPr>
                <w:rFonts w:hint="eastAsia" w:ascii="微软雅黑" w:hAnsi="微软雅黑" w:eastAsia="微软雅黑"/>
                <w:color w:val="404040"/>
                <w:sz w:val="15"/>
                <w:szCs w:val="15"/>
                <w:highlight w:val="none"/>
                <w:lang w:val="en-US" w:eastAsia="zh-CN"/>
              </w:rPr>
              <w:t>173.01</w:t>
            </w:r>
          </w:p>
        </w:tc>
        <w:tc>
          <w:tcPr>
            <w:tcW w:w="2955"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val="en-US" w:eastAsia="zh-CN"/>
              </w:rPr>
            </w:pPr>
            <w:r>
              <w:rPr>
                <w:rFonts w:hint="eastAsia" w:ascii="微软雅黑" w:hAnsi="微软雅黑" w:eastAsia="微软雅黑"/>
                <w:color w:val="404040"/>
                <w:sz w:val="15"/>
                <w:szCs w:val="15"/>
                <w:highlight w:val="none"/>
                <w:lang w:val="en-US" w:eastAsia="zh-CN"/>
              </w:rPr>
              <w:t>232.48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755" w:type="dxa"/>
            <w:tcBorders>
              <w:top w:val="nil"/>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专项准备</w:t>
            </w:r>
          </w:p>
        </w:tc>
        <w:tc>
          <w:tcPr>
            <w:tcW w:w="2812"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val="en-US" w:eastAsia="zh-CN"/>
              </w:rPr>
            </w:pPr>
            <w:r>
              <w:rPr>
                <w:rFonts w:hint="eastAsia" w:ascii="微软雅黑" w:hAnsi="微软雅黑" w:eastAsia="微软雅黑"/>
                <w:color w:val="404040"/>
                <w:sz w:val="15"/>
                <w:szCs w:val="15"/>
                <w:highlight w:val="none"/>
                <w:lang w:val="en-US" w:eastAsia="zh-CN"/>
              </w:rPr>
              <w:t>262.68</w:t>
            </w:r>
          </w:p>
        </w:tc>
        <w:tc>
          <w:tcPr>
            <w:tcW w:w="2955"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val="en-US" w:eastAsia="zh-CN"/>
              </w:rPr>
            </w:pPr>
            <w:r>
              <w:rPr>
                <w:rFonts w:hint="eastAsia" w:ascii="微软雅黑" w:hAnsi="微软雅黑" w:eastAsia="微软雅黑"/>
                <w:color w:val="404040"/>
                <w:sz w:val="15"/>
                <w:szCs w:val="15"/>
                <w:highlight w:val="none"/>
                <w:lang w:val="en-US" w:eastAsia="zh-CN"/>
              </w:rPr>
              <w:t>370.94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755" w:type="dxa"/>
            <w:tcBorders>
              <w:top w:val="nil"/>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特种准备</w:t>
            </w:r>
          </w:p>
        </w:tc>
        <w:tc>
          <w:tcPr>
            <w:tcW w:w="2812"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highlight w:val="none"/>
              </w:rPr>
            </w:pPr>
            <w:r>
              <w:rPr>
                <w:rFonts w:hint="eastAsia" w:cs="Times New Roman"/>
                <w:color w:val="404040"/>
                <w:sz w:val="16"/>
                <w:szCs w:val="16"/>
                <w:highlight w:val="none"/>
              </w:rPr>
              <w:t>0</w:t>
            </w:r>
          </w:p>
        </w:tc>
        <w:tc>
          <w:tcPr>
            <w:tcW w:w="2955"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highlight w:val="none"/>
              </w:rPr>
            </w:pPr>
            <w:r>
              <w:rPr>
                <w:rFonts w:hint="eastAsia" w:cs="Times New Roman"/>
                <w:color w:val="404040"/>
                <w:sz w:val="16"/>
                <w:szCs w:val="16"/>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jc w:val="center"/>
        </w:trPr>
        <w:tc>
          <w:tcPr>
            <w:tcW w:w="2755" w:type="dxa"/>
            <w:tcBorders>
              <w:top w:val="nil"/>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本年计提（一般准备）                    </w:t>
            </w:r>
          </w:p>
        </w:tc>
        <w:tc>
          <w:tcPr>
            <w:tcW w:w="2812"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val="en-US" w:eastAsia="zh-CN"/>
              </w:rPr>
            </w:pPr>
            <w:r>
              <w:rPr>
                <w:rFonts w:hint="eastAsia" w:ascii="微软雅黑" w:hAnsi="微软雅黑" w:eastAsia="微软雅黑"/>
                <w:color w:val="404040"/>
                <w:sz w:val="15"/>
                <w:szCs w:val="15"/>
                <w:highlight w:val="none"/>
                <w:lang w:val="en-US" w:eastAsia="zh-CN"/>
              </w:rPr>
              <w:t>59.47</w:t>
            </w:r>
          </w:p>
        </w:tc>
        <w:tc>
          <w:tcPr>
            <w:tcW w:w="2955"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val="en-US" w:eastAsia="zh-CN"/>
              </w:rPr>
            </w:pPr>
            <w:r>
              <w:rPr>
                <w:rFonts w:hint="eastAsia" w:ascii="微软雅黑" w:hAnsi="微软雅黑" w:eastAsia="微软雅黑"/>
                <w:color w:val="404040"/>
                <w:sz w:val="15"/>
                <w:szCs w:val="15"/>
                <w:highlight w:val="none"/>
                <w:lang w:val="en-US" w:eastAsia="zh-CN"/>
              </w:rPr>
              <w:t>280.10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2755" w:type="dxa"/>
            <w:tcBorders>
              <w:top w:val="nil"/>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000000"/>
                <w:sz w:val="16"/>
                <w:szCs w:val="16"/>
              </w:rPr>
              <w:t>本年计提（专项准备）</w:t>
            </w:r>
          </w:p>
        </w:tc>
        <w:tc>
          <w:tcPr>
            <w:tcW w:w="2812"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val="en-US" w:eastAsia="zh-CN"/>
              </w:rPr>
            </w:pPr>
            <w:r>
              <w:rPr>
                <w:rFonts w:hint="eastAsia" w:ascii="微软雅黑" w:hAnsi="微软雅黑" w:eastAsia="微软雅黑"/>
                <w:color w:val="404040"/>
                <w:sz w:val="15"/>
                <w:szCs w:val="15"/>
                <w:highlight w:val="none"/>
                <w:lang w:val="en-US" w:eastAsia="zh-CN"/>
              </w:rPr>
              <w:t>108.26</w:t>
            </w:r>
          </w:p>
        </w:tc>
        <w:tc>
          <w:tcPr>
            <w:tcW w:w="2955"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val="en-US" w:eastAsia="zh-CN"/>
              </w:rPr>
            </w:pPr>
            <w:r>
              <w:rPr>
                <w:rFonts w:hint="eastAsia" w:ascii="微软雅黑" w:hAnsi="微软雅黑" w:eastAsia="微软雅黑"/>
                <w:color w:val="404040"/>
                <w:sz w:val="15"/>
                <w:szCs w:val="15"/>
                <w:highlight w:val="none"/>
                <w:lang w:val="en-US" w:eastAsia="zh-CN"/>
              </w:rPr>
              <w:t>262.98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755" w:type="dxa"/>
            <w:tcBorders>
              <w:top w:val="nil"/>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本年核销                                </w:t>
            </w:r>
          </w:p>
        </w:tc>
        <w:tc>
          <w:tcPr>
            <w:tcW w:w="28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highlight w:val="none"/>
              </w:rPr>
            </w:pPr>
            <w:r>
              <w:rPr>
                <w:rFonts w:hint="eastAsia" w:cs="Times New Roman"/>
                <w:color w:val="404040"/>
                <w:sz w:val="16"/>
                <w:szCs w:val="16"/>
                <w:highlight w:val="none"/>
              </w:rPr>
              <w:t>0</w:t>
            </w:r>
          </w:p>
        </w:tc>
        <w:tc>
          <w:tcPr>
            <w:tcW w:w="2955"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highlight w:val="none"/>
              </w:rPr>
            </w:pPr>
            <w:r>
              <w:rPr>
                <w:rFonts w:hint="eastAsia" w:cs="Times New Roman"/>
                <w:color w:val="404040"/>
                <w:sz w:val="16"/>
                <w:szCs w:val="16"/>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755" w:type="dxa"/>
            <w:tcBorders>
              <w:top w:val="nil"/>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eastAsia" w:cs="Times New Roman"/>
                <w:color w:val="000000"/>
                <w:sz w:val="16"/>
                <w:szCs w:val="16"/>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本年转</w:t>
            </w:r>
          </w:p>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000000"/>
                <w:sz w:val="16"/>
                <w:szCs w:val="16"/>
              </w:rPr>
              <w:t>回                               </w:t>
            </w:r>
          </w:p>
        </w:tc>
        <w:tc>
          <w:tcPr>
            <w:tcW w:w="2812"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highlight w:val="none"/>
              </w:rPr>
            </w:pPr>
            <w:r>
              <w:rPr>
                <w:rFonts w:hint="eastAsia" w:cs="Times New Roman"/>
                <w:color w:val="404040"/>
                <w:sz w:val="16"/>
                <w:szCs w:val="16"/>
                <w:highlight w:val="none"/>
              </w:rPr>
              <w:t>0</w:t>
            </w:r>
          </w:p>
        </w:tc>
        <w:tc>
          <w:tcPr>
            <w:tcW w:w="2955"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default" w:ascii="微软雅黑" w:hAnsi="微软雅黑" w:eastAsia="微软雅黑"/>
                <w:color w:val="404040"/>
                <w:sz w:val="15"/>
                <w:szCs w:val="15"/>
              </w:rPr>
            </w:pPr>
            <w:r>
              <w:rPr>
                <w:rFonts w:hint="eastAsia" w:cs="Times New Roman"/>
                <w:color w:val="404040"/>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2755" w:type="dxa"/>
            <w:tcBorders>
              <w:top w:val="nil"/>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年末余额                      </w:t>
            </w:r>
          </w:p>
        </w:tc>
        <w:tc>
          <w:tcPr>
            <w:tcW w:w="2812"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highlight w:val="none"/>
                <w:lang w:eastAsia="zh-CN"/>
              </w:rPr>
            </w:pPr>
            <w:r>
              <w:rPr>
                <w:rFonts w:hint="eastAsia" w:eastAsia="微软雅黑" w:cs="Times New Roman"/>
                <w:color w:val="404040"/>
                <w:sz w:val="16"/>
                <w:szCs w:val="16"/>
                <w:highlight w:val="none"/>
                <w:lang w:val="en-US" w:eastAsia="zh-CN"/>
              </w:rPr>
              <w:t>603.42</w:t>
            </w:r>
          </w:p>
        </w:tc>
        <w:tc>
          <w:tcPr>
            <w:tcW w:w="2955"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right"/>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1146.50</w:t>
            </w:r>
          </w:p>
        </w:tc>
      </w:tr>
    </w:tbl>
    <w:p>
      <w:pPr>
        <w:pStyle w:val="7"/>
        <w:spacing w:before="0" w:beforeAutospacing="0" w:after="0" w:afterAutospacing="0"/>
        <w:jc w:val="both"/>
        <w:rPr>
          <w:rFonts w:ascii="微软雅黑" w:hAnsi="微软雅黑" w:eastAsia="微软雅黑"/>
          <w:color w:val="404040"/>
          <w:sz w:val="15"/>
          <w:szCs w:val="15"/>
        </w:rPr>
      </w:pPr>
      <w:r>
        <w:rPr>
          <w:rFonts w:hint="eastAsia" w:cs="Times New Roman"/>
          <w:color w:val="000000"/>
        </w:rPr>
        <w:t>5．应收、应付利息</w:t>
      </w:r>
    </w:p>
    <w:tbl>
      <w:tblPr>
        <w:tblStyle w:val="8"/>
        <w:tblW w:w="88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48"/>
        <w:gridCol w:w="1560"/>
        <w:gridCol w:w="1560"/>
        <w:gridCol w:w="156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jc w:val="center"/>
        </w:trPr>
        <w:tc>
          <w:tcPr>
            <w:tcW w:w="2148" w:type="dxa"/>
            <w:tcBorders>
              <w:top w:val="single" w:color="DDDDDD" w:sz="8" w:space="0"/>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Times New Roman" w:hAnsi="Times New Roman" w:eastAsia="微软雅黑" w:cs="Times New Roman"/>
                <w:color w:val="404040"/>
                <w:sz w:val="21"/>
                <w:szCs w:val="21"/>
              </w:rPr>
              <w:t>     </w:t>
            </w:r>
            <w:r>
              <w:rPr>
                <w:rStyle w:val="11"/>
                <w:rFonts w:hint="default" w:ascii="Times New Roman" w:hAnsi="Times New Roman" w:eastAsia="微软雅黑" w:cs="Times New Roman"/>
                <w:color w:val="404040"/>
                <w:sz w:val="21"/>
                <w:szCs w:val="21"/>
              </w:rPr>
              <w:t> </w:t>
            </w:r>
            <w:r>
              <w:rPr>
                <w:rFonts w:hint="eastAsia" w:cs="Times New Roman"/>
                <w:color w:val="000000"/>
                <w:sz w:val="16"/>
                <w:szCs w:val="16"/>
              </w:rPr>
              <w:t>项       目</w:t>
            </w:r>
          </w:p>
        </w:tc>
        <w:tc>
          <w:tcPr>
            <w:tcW w:w="1560" w:type="dxa"/>
            <w:tcBorders>
              <w:top w:val="single" w:color="DDDDDD" w:sz="8" w:space="0"/>
              <w:left w:val="single" w:color="auto"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年初余额</w:t>
            </w:r>
          </w:p>
        </w:tc>
        <w:tc>
          <w:tcPr>
            <w:tcW w:w="1560" w:type="dxa"/>
            <w:tcBorders>
              <w:top w:val="single" w:color="DDDDDD" w:sz="8" w:space="0"/>
              <w:left w:val="single" w:color="auto"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本期增加</w:t>
            </w:r>
          </w:p>
        </w:tc>
        <w:tc>
          <w:tcPr>
            <w:tcW w:w="1560" w:type="dxa"/>
            <w:tcBorders>
              <w:top w:val="single" w:color="DDDDDD" w:sz="8" w:space="0"/>
              <w:left w:val="single" w:color="auto"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本期减少</w:t>
            </w:r>
          </w:p>
        </w:tc>
        <w:tc>
          <w:tcPr>
            <w:tcW w:w="1980" w:type="dxa"/>
            <w:tcBorders>
              <w:top w:val="single" w:color="DDDDDD" w:sz="8" w:space="0"/>
              <w:left w:val="single" w:color="auto"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年未余额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jc w:val="center"/>
        </w:trPr>
        <w:tc>
          <w:tcPr>
            <w:tcW w:w="2148" w:type="dxa"/>
            <w:tcBorders>
              <w:top w:val="nil"/>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应收利息合计</w:t>
            </w:r>
          </w:p>
        </w:tc>
        <w:tc>
          <w:tcPr>
            <w:tcW w:w="15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12.21</w:t>
            </w:r>
          </w:p>
        </w:tc>
        <w:tc>
          <w:tcPr>
            <w:tcW w:w="1560"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171.94</w:t>
            </w:r>
          </w:p>
        </w:tc>
        <w:tc>
          <w:tcPr>
            <w:tcW w:w="1560"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176.16</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jc w:val="center"/>
        </w:trPr>
        <w:tc>
          <w:tcPr>
            <w:tcW w:w="2148" w:type="dxa"/>
            <w:tcBorders>
              <w:top w:val="nil"/>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应付利息合计</w:t>
            </w:r>
          </w:p>
        </w:tc>
        <w:tc>
          <w:tcPr>
            <w:tcW w:w="15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256.56</w:t>
            </w:r>
          </w:p>
        </w:tc>
        <w:tc>
          <w:tcPr>
            <w:tcW w:w="15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550.72</w:t>
            </w:r>
          </w:p>
        </w:tc>
        <w:tc>
          <w:tcPr>
            <w:tcW w:w="15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334.47</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472.80</w:t>
            </w:r>
          </w:p>
        </w:tc>
      </w:tr>
    </w:tbl>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应付利息计提方法：按企业会计准则进行计提。</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6．投资情况</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报告期内，本行没有对外投资情况，余额为0。</w:t>
      </w:r>
    </w:p>
    <w:p>
      <w:pPr>
        <w:pStyle w:val="7"/>
        <w:spacing w:before="0" w:beforeAutospacing="0" w:after="0" w:afterAutospacing="0"/>
        <w:jc w:val="both"/>
        <w:rPr>
          <w:rFonts w:ascii="微软雅黑" w:hAnsi="微软雅黑" w:eastAsia="微软雅黑"/>
          <w:color w:val="404040"/>
          <w:sz w:val="15"/>
          <w:szCs w:val="15"/>
        </w:rPr>
      </w:pPr>
      <w:r>
        <w:rPr>
          <w:rFonts w:hint="eastAsia" w:cs="Times New Roman"/>
          <w:color w:val="000000"/>
        </w:rPr>
        <w:t>7．资本充足状况</w:t>
      </w:r>
    </w:p>
    <w:tbl>
      <w:tblPr>
        <w:tblStyle w:val="8"/>
        <w:tblW w:w="8898"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
      <w:tblGrid>
        <w:gridCol w:w="5159"/>
        <w:gridCol w:w="373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98" w:hRule="atLeast"/>
          <w:jc w:val="center"/>
        </w:trPr>
        <w:tc>
          <w:tcPr>
            <w:tcW w:w="5159" w:type="dxa"/>
            <w:tcBorders>
              <w:top w:val="single" w:color="DDDDDD" w:sz="8" w:space="0"/>
              <w:left w:val="single" w:color="DDDDDD"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项目/结构</w:t>
            </w:r>
          </w:p>
        </w:tc>
        <w:tc>
          <w:tcPr>
            <w:tcW w:w="3739" w:type="dxa"/>
            <w:tcBorders>
              <w:top w:val="single" w:color="DDDDDD" w:sz="8" w:space="0"/>
              <w:left w:val="single" w:color="auto"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余额</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58" w:hRule="atLeast"/>
          <w:jc w:val="center"/>
        </w:trPr>
        <w:tc>
          <w:tcPr>
            <w:tcW w:w="5159" w:type="dxa"/>
            <w:tcBorders>
              <w:top w:val="nil"/>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000000"/>
                <w:sz w:val="16"/>
                <w:szCs w:val="16"/>
              </w:rPr>
              <w:t>一、资本净额</w:t>
            </w:r>
          </w:p>
        </w:tc>
        <w:tc>
          <w:tcPr>
            <w:tcW w:w="37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6592.50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10" w:hRule="atLeast"/>
          <w:jc w:val="center"/>
        </w:trPr>
        <w:tc>
          <w:tcPr>
            <w:tcW w:w="5159" w:type="dxa"/>
            <w:tcBorders>
              <w:top w:val="nil"/>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000000"/>
                <w:sz w:val="16"/>
                <w:szCs w:val="16"/>
              </w:rPr>
              <w:t>1、一级资本净额</w:t>
            </w:r>
          </w:p>
        </w:tc>
        <w:tc>
          <w:tcPr>
            <w:tcW w:w="37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6297.26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10" w:hRule="atLeast"/>
          <w:jc w:val="center"/>
        </w:trPr>
        <w:tc>
          <w:tcPr>
            <w:tcW w:w="5159" w:type="dxa"/>
            <w:tcBorders>
              <w:top w:val="nil"/>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000000"/>
                <w:sz w:val="16"/>
                <w:szCs w:val="16"/>
              </w:rPr>
              <w:t>2、二级资本</w:t>
            </w:r>
          </w:p>
        </w:tc>
        <w:tc>
          <w:tcPr>
            <w:tcW w:w="37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10" w:hRule="atLeast"/>
          <w:jc w:val="center"/>
        </w:trPr>
        <w:tc>
          <w:tcPr>
            <w:tcW w:w="5159" w:type="dxa"/>
            <w:tcBorders>
              <w:top w:val="nil"/>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二、风险资产总额（应用资本底线及校准后的风险加权资产合计）</w:t>
            </w:r>
          </w:p>
        </w:tc>
        <w:tc>
          <w:tcPr>
            <w:tcW w:w="37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Fonts w:hint="eastAsia" w:eastAsia="微软雅黑" w:cs="Times New Roman"/>
                <w:color w:val="404040"/>
                <w:sz w:val="16"/>
                <w:szCs w:val="16"/>
                <w:lang w:val="en-US" w:eastAsia="zh-CN"/>
              </w:rPr>
              <w:t>27107.11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10" w:hRule="atLeast"/>
          <w:jc w:val="center"/>
        </w:trPr>
        <w:tc>
          <w:tcPr>
            <w:tcW w:w="5159" w:type="dxa"/>
            <w:tcBorders>
              <w:top w:val="nil"/>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000000"/>
                <w:sz w:val="16"/>
                <w:szCs w:val="16"/>
              </w:rPr>
              <w:t>三、核心资本充足率</w:t>
            </w:r>
          </w:p>
        </w:tc>
        <w:tc>
          <w:tcPr>
            <w:tcW w:w="37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404040"/>
                <w:sz w:val="16"/>
                <w:szCs w:val="16"/>
                <w:lang w:val="en-US" w:eastAsia="zh-CN"/>
              </w:rPr>
              <w:t>23.23</w:t>
            </w:r>
            <w:r>
              <w:rPr>
                <w:rFonts w:hint="eastAsia" w:cs="Times New Roman"/>
                <w:color w:val="404040"/>
                <w:sz w:val="16"/>
                <w:szCs w:val="16"/>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10" w:hRule="atLeast"/>
          <w:jc w:val="center"/>
        </w:trPr>
        <w:tc>
          <w:tcPr>
            <w:tcW w:w="5159" w:type="dxa"/>
            <w:tcBorders>
              <w:top w:val="nil"/>
              <w:left w:val="single" w:color="DDDDDD" w:sz="8" w:space="0"/>
              <w:bottom w:val="single" w:color="DDDDDD" w:sz="8" w:space="0"/>
              <w:right w:val="single" w:color="DDDDDD" w:sz="8" w:space="0"/>
            </w:tcBorders>
            <w:shd w:val="clear" w:color="auto" w:fill="FFFFFF"/>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000000"/>
                <w:sz w:val="16"/>
                <w:szCs w:val="16"/>
              </w:rPr>
              <w:t>四、资本充足率</w:t>
            </w:r>
          </w:p>
        </w:tc>
        <w:tc>
          <w:tcPr>
            <w:tcW w:w="37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404040"/>
                <w:sz w:val="16"/>
                <w:szCs w:val="16"/>
                <w:lang w:val="en-US" w:eastAsia="zh-CN"/>
              </w:rPr>
              <w:t>24.32</w:t>
            </w:r>
            <w:r>
              <w:rPr>
                <w:rFonts w:hint="eastAsia" w:cs="Times New Roman"/>
                <w:color w:val="404040"/>
                <w:sz w:val="16"/>
                <w:szCs w:val="16"/>
              </w:rPr>
              <w:t>%</w:t>
            </w:r>
          </w:p>
        </w:tc>
      </w:tr>
    </w:tbl>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8．报告期内，本行没有银行承兑汇票、对外担保、融资保函、非融资保函、贷款承诺、开出即期信用证、开出远期信用证、金融期货、金融期权等表外项目，其年末余额均为0。</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（四）关联方关系及交易</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1.截至本财务报表批准报出日止，本行没有与股东关联交易情况。</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2.与主发起行之间的关联交易情况</w:t>
      </w:r>
    </w:p>
    <w:tbl>
      <w:tblPr>
        <w:tblStyle w:val="8"/>
        <w:tblW w:w="8522"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
      <w:tblGrid>
        <w:gridCol w:w="2242"/>
        <w:gridCol w:w="1964"/>
        <w:gridCol w:w="2972"/>
        <w:gridCol w:w="134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24" w:hRule="atLeast"/>
          <w:jc w:val="center"/>
        </w:trPr>
        <w:tc>
          <w:tcPr>
            <w:tcW w:w="2242" w:type="dxa"/>
            <w:tcBorders>
              <w:top w:val="single" w:color="DDDDDD" w:sz="8" w:space="0"/>
              <w:left w:val="single" w:color="DDDDDD"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主发起行名称</w:t>
            </w:r>
          </w:p>
        </w:tc>
        <w:tc>
          <w:tcPr>
            <w:tcW w:w="1964" w:type="dxa"/>
            <w:tcBorders>
              <w:top w:val="single" w:color="DDDDDD" w:sz="8" w:space="0"/>
              <w:left w:val="single" w:color="auto"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村镇银行上存主发起行资金（清算资金）</w:t>
            </w:r>
          </w:p>
        </w:tc>
        <w:tc>
          <w:tcPr>
            <w:tcW w:w="2972" w:type="dxa"/>
            <w:tcBorders>
              <w:top w:val="single" w:color="DDDDDD" w:sz="8" w:space="0"/>
              <w:left w:val="single" w:color="auto"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主发起行对村镇银行的资金支持情况</w:t>
            </w:r>
          </w:p>
        </w:tc>
        <w:tc>
          <w:tcPr>
            <w:tcW w:w="1344" w:type="dxa"/>
            <w:tcBorders>
              <w:top w:val="single" w:color="DDDDDD" w:sz="8" w:space="0"/>
              <w:left w:val="single" w:color="auto"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备注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488" w:hRule="atLeast"/>
          <w:jc w:val="center"/>
        </w:trPr>
        <w:tc>
          <w:tcPr>
            <w:tcW w:w="2242" w:type="dxa"/>
            <w:tcBorders>
              <w:top w:val="nil"/>
              <w:left w:val="single" w:color="DDDDDD"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lang w:eastAsia="zh-CN"/>
              </w:rPr>
              <w:t>侯马农商</w:t>
            </w:r>
            <w:r>
              <w:rPr>
                <w:rFonts w:hint="eastAsia" w:cs="Times New Roman"/>
                <w:color w:val="000000"/>
                <w:sz w:val="16"/>
                <w:szCs w:val="16"/>
              </w:rPr>
              <w:t>银行股份有限公司</w:t>
            </w:r>
          </w:p>
        </w:tc>
        <w:tc>
          <w:tcPr>
            <w:tcW w:w="1964"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404040"/>
                <w:sz w:val="16"/>
                <w:szCs w:val="16"/>
                <w:lang w:val="en-US" w:eastAsia="zh-CN"/>
              </w:rPr>
              <w:t>0.00</w:t>
            </w:r>
          </w:p>
        </w:tc>
        <w:tc>
          <w:tcPr>
            <w:tcW w:w="297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0</w:t>
            </w:r>
          </w:p>
        </w:tc>
        <w:tc>
          <w:tcPr>
            <w:tcW w:w="134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suppressLineNumbers w:val="0"/>
              <w:spacing w:before="0" w:beforeAutospacing="0" w:after="0" w:afterAutospacing="0"/>
              <w:ind w:left="0" w:right="0"/>
              <w:rPr>
                <w:rFonts w:hint="default" w:ascii="微软雅黑" w:hAnsi="微软雅黑" w:cs="宋体"/>
                <w:color w:val="404040"/>
                <w:sz w:val="15"/>
                <w:szCs w:val="15"/>
              </w:rPr>
            </w:pPr>
            <w:r>
              <w:rPr>
                <w:rFonts w:hint="eastAsia" w:ascii="微软雅黑" w:hAnsi="微软雅黑"/>
                <w:color w:val="404040"/>
                <w:sz w:val="15"/>
                <w:szCs w:val="15"/>
              </w:rPr>
              <w:t> </w:t>
            </w:r>
          </w:p>
        </w:tc>
      </w:tr>
    </w:tbl>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（五）重要会计政策和会计估计的变更</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截至本财务报表批准报出日止，本行没有重要会计政策和会计估计的变更。</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（六）或有事项</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截至本财务报表批准报出日止，本行没有其他任何需作披露的或有事项。</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（七）资产负债表日后事项</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截至本财务报表批准报出日止，本行没有其他任何需作披露或调整的重大资产负债表日后事项。</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（八）重要资产转让及出售情况</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截至本财务报表批准报出日止，本行未发生重要资产转让及出售事项。</w:t>
      </w:r>
    </w:p>
    <w:p>
      <w:pPr>
        <w:pStyle w:val="3"/>
        <w:spacing w:line="322" w:lineRule="atLeast"/>
        <w:jc w:val="both"/>
        <w:rPr>
          <w:rFonts w:hint="eastAsia" w:cs="Times New Roman"/>
          <w:color w:val="000000"/>
          <w:highlight w:val="yellow"/>
        </w:rPr>
      </w:pPr>
      <w:bookmarkStart w:id="14" w:name="_Toc193883041"/>
      <w:bookmarkEnd w:id="14"/>
      <w:bookmarkStart w:id="15" w:name="_Toc227401520"/>
      <w:bookmarkEnd w:id="15"/>
      <w:bookmarkStart w:id="16" w:name="_Toc481080002"/>
      <w:r>
        <w:rPr>
          <w:rStyle w:val="10"/>
          <w:rFonts w:hint="eastAsia" w:ascii="黑体" w:hAnsi="黑体" w:eastAsia="黑体" w:cs="Arial"/>
          <w:b w:val="0"/>
          <w:bCs w:val="0"/>
          <w:color w:val="000000"/>
          <w:sz w:val="28"/>
          <w:szCs w:val="28"/>
        </w:rPr>
        <w:t>三</w:t>
      </w:r>
      <w:bookmarkEnd w:id="16"/>
      <w:r>
        <w:rPr>
          <w:rStyle w:val="10"/>
          <w:rFonts w:hint="eastAsia" w:cs="Arial"/>
          <w:b w:val="0"/>
          <w:bCs w:val="0"/>
          <w:color w:val="000000"/>
          <w:sz w:val="28"/>
          <w:szCs w:val="28"/>
        </w:rPr>
        <w:t>、</w:t>
      </w:r>
      <w:r>
        <w:rPr>
          <w:rStyle w:val="10"/>
          <w:rFonts w:hint="eastAsia" w:ascii="黑体" w:hAnsi="黑体" w:eastAsia="黑体" w:cs="Arial"/>
          <w:b w:val="0"/>
          <w:bCs w:val="0"/>
          <w:color w:val="000000"/>
        </w:rPr>
        <w:t>财务状况说明书</w:t>
      </w:r>
      <w:bookmarkStart w:id="17" w:name="_Toc322415013"/>
    </w:p>
    <w:p>
      <w:pPr>
        <w:pStyle w:val="7"/>
        <w:spacing w:before="0" w:beforeAutospacing="0" w:after="0" w:afterAutospacing="0"/>
        <w:jc w:val="both"/>
        <w:rPr>
          <w:rFonts w:hint="eastAsia" w:ascii="仿宋" w:hAnsi="仿宋" w:eastAsia="仿宋" w:cs="仿宋"/>
          <w:color w:val="404040"/>
          <w:sz w:val="30"/>
          <w:szCs w:val="30"/>
          <w:highlight w:val="none"/>
        </w:rPr>
      </w:pPr>
      <w:r>
        <w:rPr>
          <w:rFonts w:hint="eastAsia" w:ascii="仿宋" w:hAnsi="仿宋" w:eastAsia="仿宋" w:cs="仿宋"/>
          <w:color w:val="000000"/>
          <w:sz w:val="30"/>
          <w:szCs w:val="30"/>
          <w:highlight w:val="none"/>
        </w:rPr>
        <w:t>（一）基本经营情况</w:t>
      </w:r>
      <w:bookmarkEnd w:id="17"/>
    </w:p>
    <w:p>
      <w:pPr>
        <w:pStyle w:val="7"/>
        <w:spacing w:before="0" w:beforeAutospacing="0" w:after="0" w:afterAutospacing="0"/>
        <w:jc w:val="both"/>
        <w:rPr>
          <w:rFonts w:hint="eastAsia" w:ascii="仿宋" w:hAnsi="仿宋" w:eastAsia="仿宋" w:cs="仿宋"/>
          <w:color w:val="404040"/>
          <w:sz w:val="30"/>
          <w:szCs w:val="30"/>
          <w:highlight w:val="none"/>
        </w:rPr>
      </w:pPr>
      <w:bookmarkStart w:id="18" w:name="_Toc322415014"/>
      <w:r>
        <w:rPr>
          <w:rFonts w:hint="eastAsia" w:ascii="仿宋" w:hAnsi="仿宋" w:eastAsia="仿宋" w:cs="仿宋"/>
          <w:color w:val="404040"/>
          <w:sz w:val="30"/>
          <w:szCs w:val="30"/>
          <w:highlight w:val="none"/>
          <w:lang w:val="en-US" w:eastAsia="zh-CN"/>
        </w:rPr>
        <w:t xml:space="preserve">    </w:t>
      </w:r>
      <w:r>
        <w:rPr>
          <w:rFonts w:hint="eastAsia" w:ascii="仿宋" w:hAnsi="仿宋" w:eastAsia="仿宋" w:cs="仿宋"/>
          <w:color w:val="404040"/>
          <w:sz w:val="30"/>
          <w:szCs w:val="30"/>
          <w:highlight w:val="none"/>
        </w:rPr>
        <w:t>截止报告期末，本行资产总额</w:t>
      </w:r>
      <w:r>
        <w:rPr>
          <w:rFonts w:hint="eastAsia" w:ascii="仿宋" w:hAnsi="仿宋" w:eastAsia="仿宋" w:cs="仿宋"/>
          <w:color w:val="404040"/>
          <w:sz w:val="30"/>
          <w:szCs w:val="30"/>
          <w:highlight w:val="none"/>
          <w:lang w:val="en-US" w:eastAsia="zh-CN"/>
        </w:rPr>
        <w:t>38652.32</w:t>
      </w:r>
      <w:r>
        <w:rPr>
          <w:rFonts w:hint="eastAsia" w:ascii="仿宋" w:hAnsi="仿宋" w:eastAsia="仿宋" w:cs="仿宋"/>
          <w:color w:val="404040"/>
          <w:sz w:val="30"/>
          <w:szCs w:val="30"/>
          <w:highlight w:val="none"/>
        </w:rPr>
        <w:t>万元；各项存款</w:t>
      </w:r>
      <w:r>
        <w:rPr>
          <w:rFonts w:hint="eastAsia" w:ascii="仿宋" w:hAnsi="仿宋" w:eastAsia="仿宋" w:cs="仿宋"/>
          <w:color w:val="404040"/>
          <w:sz w:val="30"/>
          <w:szCs w:val="30"/>
          <w:highlight w:val="none"/>
          <w:lang w:val="en-US" w:eastAsia="zh-CN"/>
        </w:rPr>
        <w:t>27294.85</w:t>
      </w:r>
      <w:r>
        <w:rPr>
          <w:rFonts w:hint="eastAsia" w:ascii="仿宋" w:hAnsi="仿宋" w:eastAsia="仿宋" w:cs="仿宋"/>
          <w:color w:val="404040"/>
          <w:sz w:val="30"/>
          <w:szCs w:val="30"/>
          <w:highlight w:val="none"/>
        </w:rPr>
        <w:t>万元；各项贷款</w:t>
      </w:r>
      <w:r>
        <w:rPr>
          <w:rFonts w:hint="eastAsia" w:ascii="仿宋" w:hAnsi="仿宋" w:eastAsia="仿宋" w:cs="仿宋"/>
          <w:color w:val="404040"/>
          <w:sz w:val="30"/>
          <w:szCs w:val="30"/>
          <w:highlight w:val="none"/>
          <w:lang w:val="en-US" w:eastAsia="zh-CN"/>
        </w:rPr>
        <w:t>26216.97</w:t>
      </w:r>
      <w:r>
        <w:rPr>
          <w:rFonts w:hint="eastAsia" w:ascii="仿宋" w:hAnsi="仿宋" w:eastAsia="仿宋" w:cs="仿宋"/>
          <w:color w:val="404040"/>
          <w:sz w:val="30"/>
          <w:szCs w:val="30"/>
          <w:highlight w:val="none"/>
        </w:rPr>
        <w:t>万元；全年实现税前利润</w:t>
      </w:r>
      <w:r>
        <w:rPr>
          <w:rFonts w:hint="eastAsia" w:ascii="仿宋" w:hAnsi="仿宋" w:eastAsia="仿宋" w:cs="仿宋"/>
          <w:color w:val="404040"/>
          <w:sz w:val="30"/>
          <w:szCs w:val="30"/>
          <w:highlight w:val="none"/>
          <w:lang w:val="en-US" w:eastAsia="zh-CN"/>
        </w:rPr>
        <w:t>195.35</w:t>
      </w:r>
      <w:r>
        <w:rPr>
          <w:rFonts w:hint="eastAsia" w:ascii="仿宋" w:hAnsi="仿宋" w:eastAsia="仿宋" w:cs="仿宋"/>
          <w:color w:val="404040"/>
          <w:sz w:val="30"/>
          <w:szCs w:val="30"/>
          <w:highlight w:val="none"/>
        </w:rPr>
        <w:t>万元；不良贷款（五级分类）</w:t>
      </w:r>
      <w:r>
        <w:rPr>
          <w:rFonts w:hint="eastAsia" w:ascii="仿宋" w:hAnsi="仿宋" w:eastAsia="仿宋" w:cs="仿宋"/>
          <w:color w:val="404040"/>
          <w:sz w:val="30"/>
          <w:szCs w:val="30"/>
          <w:highlight w:val="none"/>
          <w:lang w:val="en-US" w:eastAsia="zh-CN"/>
        </w:rPr>
        <w:t>762.31</w:t>
      </w:r>
      <w:r>
        <w:rPr>
          <w:rFonts w:hint="eastAsia" w:ascii="仿宋" w:hAnsi="仿宋" w:eastAsia="仿宋" w:cs="仿宋"/>
          <w:color w:val="404040"/>
          <w:sz w:val="30"/>
          <w:szCs w:val="30"/>
          <w:highlight w:val="none"/>
        </w:rPr>
        <w:t>万元；不良贷款率</w:t>
      </w:r>
      <w:r>
        <w:rPr>
          <w:rFonts w:hint="eastAsia" w:ascii="仿宋" w:hAnsi="仿宋" w:eastAsia="仿宋" w:cs="仿宋"/>
          <w:color w:val="404040"/>
          <w:sz w:val="30"/>
          <w:szCs w:val="30"/>
          <w:highlight w:val="none"/>
          <w:lang w:val="en-US" w:eastAsia="zh-CN"/>
        </w:rPr>
        <w:t>2.91</w:t>
      </w:r>
      <w:r>
        <w:rPr>
          <w:rFonts w:hint="eastAsia" w:ascii="仿宋" w:hAnsi="仿宋" w:eastAsia="仿宋" w:cs="仿宋"/>
          <w:color w:val="404040"/>
          <w:sz w:val="30"/>
          <w:szCs w:val="30"/>
          <w:highlight w:val="none"/>
        </w:rPr>
        <w:t>%；资本充足率</w:t>
      </w:r>
      <w:r>
        <w:rPr>
          <w:rFonts w:hint="eastAsia" w:ascii="仿宋" w:hAnsi="仿宋" w:eastAsia="仿宋" w:cs="仿宋"/>
          <w:color w:val="404040"/>
          <w:sz w:val="30"/>
          <w:szCs w:val="30"/>
          <w:highlight w:val="none"/>
          <w:lang w:val="en-US" w:eastAsia="zh-CN"/>
        </w:rPr>
        <w:t>24.32</w:t>
      </w:r>
      <w:r>
        <w:rPr>
          <w:rFonts w:hint="eastAsia" w:ascii="仿宋" w:hAnsi="仿宋" w:eastAsia="仿宋" w:cs="仿宋"/>
          <w:color w:val="404040"/>
          <w:sz w:val="30"/>
          <w:szCs w:val="30"/>
          <w:highlight w:val="none"/>
        </w:rPr>
        <w:t>%。</w:t>
      </w:r>
      <w:bookmarkEnd w:id="18"/>
    </w:p>
    <w:p>
      <w:pPr>
        <w:pStyle w:val="7"/>
        <w:spacing w:before="0" w:beforeAutospacing="0" w:after="0" w:afterAutospacing="0"/>
        <w:jc w:val="both"/>
        <w:rPr>
          <w:rFonts w:hint="eastAsia" w:ascii="仿宋" w:hAnsi="仿宋" w:eastAsia="仿宋" w:cs="仿宋"/>
          <w:color w:val="404040"/>
          <w:sz w:val="30"/>
          <w:szCs w:val="30"/>
          <w:highlight w:val="none"/>
        </w:rPr>
      </w:pPr>
      <w:r>
        <w:rPr>
          <w:rFonts w:hint="eastAsia" w:ascii="仿宋" w:hAnsi="仿宋" w:eastAsia="仿宋" w:cs="仿宋"/>
          <w:color w:val="404040"/>
          <w:sz w:val="30"/>
          <w:szCs w:val="30"/>
          <w:highlight w:val="none"/>
        </w:rPr>
        <w:t>（二）利润实现和分配情况</w:t>
      </w:r>
    </w:p>
    <w:p>
      <w:pPr>
        <w:pStyle w:val="7"/>
        <w:spacing w:before="0" w:beforeAutospacing="0" w:after="0" w:afterAutospacing="0"/>
        <w:jc w:val="both"/>
        <w:rPr>
          <w:rFonts w:hint="eastAsia" w:ascii="仿宋" w:hAnsi="仿宋" w:eastAsia="仿宋" w:cs="仿宋"/>
          <w:color w:val="404040"/>
          <w:sz w:val="30"/>
          <w:szCs w:val="30"/>
          <w:highlight w:val="none"/>
        </w:rPr>
      </w:pPr>
      <w:r>
        <w:rPr>
          <w:rFonts w:hint="eastAsia" w:ascii="仿宋" w:hAnsi="仿宋" w:eastAsia="仿宋" w:cs="仿宋"/>
          <w:color w:val="404040"/>
          <w:sz w:val="30"/>
          <w:szCs w:val="30"/>
          <w:highlight w:val="none"/>
          <w:lang w:val="en-US" w:eastAsia="zh-CN"/>
        </w:rPr>
        <w:t xml:space="preserve">    </w:t>
      </w:r>
      <w:r>
        <w:rPr>
          <w:rFonts w:hint="eastAsia" w:ascii="仿宋" w:hAnsi="仿宋" w:eastAsia="仿宋" w:cs="仿宋"/>
          <w:color w:val="404040"/>
          <w:sz w:val="30"/>
          <w:szCs w:val="30"/>
          <w:highlight w:val="none"/>
        </w:rPr>
        <w:t>截止报告期末，本行实现税前利润</w:t>
      </w:r>
      <w:r>
        <w:rPr>
          <w:rFonts w:hint="eastAsia" w:ascii="仿宋" w:hAnsi="仿宋" w:eastAsia="仿宋" w:cs="仿宋"/>
          <w:color w:val="404040"/>
          <w:sz w:val="30"/>
          <w:szCs w:val="30"/>
          <w:highlight w:val="none"/>
          <w:lang w:val="en-US" w:eastAsia="zh-CN"/>
        </w:rPr>
        <w:t>195.35</w:t>
      </w:r>
      <w:r>
        <w:rPr>
          <w:rFonts w:hint="eastAsia" w:ascii="仿宋" w:hAnsi="仿宋" w:eastAsia="仿宋" w:cs="仿宋"/>
          <w:color w:val="404040"/>
          <w:sz w:val="30"/>
          <w:szCs w:val="30"/>
          <w:highlight w:val="none"/>
        </w:rPr>
        <w:t>万元，净利润</w:t>
      </w:r>
      <w:r>
        <w:rPr>
          <w:rFonts w:hint="eastAsia" w:ascii="仿宋" w:hAnsi="仿宋" w:eastAsia="仿宋" w:cs="仿宋"/>
          <w:color w:val="404040"/>
          <w:sz w:val="30"/>
          <w:szCs w:val="30"/>
          <w:highlight w:val="none"/>
          <w:lang w:val="en-US" w:eastAsia="zh-CN"/>
        </w:rPr>
        <w:t>195.35</w:t>
      </w:r>
      <w:r>
        <w:rPr>
          <w:rFonts w:hint="eastAsia" w:ascii="仿宋" w:hAnsi="仿宋" w:eastAsia="仿宋" w:cs="仿宋"/>
          <w:color w:val="404040"/>
          <w:sz w:val="30"/>
          <w:szCs w:val="30"/>
          <w:highlight w:val="none"/>
        </w:rPr>
        <w:t>万元，提取法定盈余公积</w:t>
      </w:r>
      <w:r>
        <w:rPr>
          <w:rFonts w:hint="eastAsia" w:ascii="仿宋" w:hAnsi="仿宋" w:eastAsia="仿宋" w:cs="仿宋"/>
          <w:color w:val="404040"/>
          <w:sz w:val="30"/>
          <w:szCs w:val="30"/>
          <w:highlight w:val="none"/>
          <w:lang w:val="en-US" w:eastAsia="zh-CN"/>
        </w:rPr>
        <w:t>55.44</w:t>
      </w:r>
      <w:r>
        <w:rPr>
          <w:rFonts w:hint="eastAsia" w:ascii="仿宋" w:hAnsi="仿宋" w:eastAsia="仿宋" w:cs="仿宋"/>
          <w:color w:val="404040"/>
          <w:sz w:val="30"/>
          <w:szCs w:val="30"/>
          <w:highlight w:val="none"/>
        </w:rPr>
        <w:t>万元，未分配利润</w:t>
      </w:r>
      <w:r>
        <w:rPr>
          <w:rFonts w:hint="eastAsia" w:ascii="仿宋" w:hAnsi="仿宋" w:eastAsia="仿宋" w:cs="仿宋"/>
          <w:color w:val="404040"/>
          <w:sz w:val="30"/>
          <w:szCs w:val="30"/>
          <w:highlight w:val="none"/>
          <w:lang w:val="en-US" w:eastAsia="zh-CN"/>
        </w:rPr>
        <w:t>121.82</w:t>
      </w:r>
      <w:r>
        <w:rPr>
          <w:rFonts w:hint="eastAsia" w:ascii="仿宋" w:hAnsi="仿宋" w:eastAsia="仿宋" w:cs="仿宋"/>
          <w:color w:val="404040"/>
          <w:sz w:val="30"/>
          <w:szCs w:val="30"/>
          <w:highlight w:val="none"/>
        </w:rPr>
        <w:t>万元。拟对201</w:t>
      </w:r>
      <w:r>
        <w:rPr>
          <w:rFonts w:hint="eastAsia" w:ascii="仿宋" w:hAnsi="仿宋" w:eastAsia="仿宋" w:cs="仿宋"/>
          <w:color w:val="404040"/>
          <w:sz w:val="30"/>
          <w:szCs w:val="30"/>
          <w:highlight w:val="none"/>
          <w:lang w:val="en-US" w:eastAsia="zh-CN"/>
        </w:rPr>
        <w:t>9</w:t>
      </w:r>
      <w:r>
        <w:rPr>
          <w:rFonts w:hint="eastAsia" w:ascii="仿宋" w:hAnsi="仿宋" w:eastAsia="仿宋" w:cs="仿宋"/>
          <w:color w:val="404040"/>
          <w:sz w:val="30"/>
          <w:szCs w:val="30"/>
          <w:highlight w:val="none"/>
        </w:rPr>
        <w:t>年度股金（总股本</w:t>
      </w:r>
      <w:r>
        <w:rPr>
          <w:rFonts w:hint="eastAsia" w:ascii="仿宋" w:hAnsi="仿宋" w:eastAsia="仿宋" w:cs="仿宋"/>
          <w:color w:val="404040"/>
          <w:sz w:val="30"/>
          <w:szCs w:val="30"/>
          <w:highlight w:val="none"/>
          <w:lang w:val="en-US" w:eastAsia="zh-CN"/>
        </w:rPr>
        <w:t>6</w:t>
      </w:r>
      <w:r>
        <w:rPr>
          <w:rFonts w:hint="eastAsia" w:ascii="仿宋" w:hAnsi="仿宋" w:eastAsia="仿宋" w:cs="仿宋"/>
          <w:color w:val="404040"/>
          <w:sz w:val="30"/>
          <w:szCs w:val="30"/>
          <w:highlight w:val="none"/>
        </w:rPr>
        <w:t>000万股）进行分红，分红预案需召开股东大会审议通过后实施。</w:t>
      </w:r>
    </w:p>
    <w:p>
      <w:pPr>
        <w:pStyle w:val="7"/>
        <w:spacing w:before="0" w:beforeAutospacing="0" w:after="0" w:afterAutospacing="0"/>
        <w:jc w:val="both"/>
        <w:rPr>
          <w:rFonts w:hint="eastAsia" w:ascii="仿宋" w:hAnsi="仿宋" w:eastAsia="仿宋" w:cs="仿宋"/>
          <w:color w:val="404040"/>
          <w:sz w:val="30"/>
          <w:szCs w:val="30"/>
          <w:highlight w:val="none"/>
        </w:rPr>
      </w:pPr>
      <w:r>
        <w:rPr>
          <w:rFonts w:hint="eastAsia" w:ascii="仿宋" w:hAnsi="仿宋" w:eastAsia="仿宋" w:cs="仿宋"/>
          <w:color w:val="000000"/>
          <w:sz w:val="30"/>
          <w:szCs w:val="30"/>
          <w:highlight w:val="none"/>
        </w:rPr>
        <w:t>（三）薪酬情况</w:t>
      </w:r>
    </w:p>
    <w:p>
      <w:pPr>
        <w:pStyle w:val="7"/>
        <w:spacing w:before="0" w:beforeAutospacing="0" w:after="0" w:afterAutospacing="0"/>
        <w:jc w:val="both"/>
        <w:rPr>
          <w:rFonts w:hint="eastAsia" w:ascii="仿宋" w:hAnsi="仿宋" w:eastAsia="仿宋" w:cs="仿宋"/>
          <w:color w:val="404040"/>
          <w:sz w:val="30"/>
          <w:szCs w:val="30"/>
          <w:highlight w:val="none"/>
        </w:rPr>
      </w:pPr>
      <w:bookmarkStart w:id="19" w:name="_Toc322415015"/>
      <w:r>
        <w:rPr>
          <w:rFonts w:hint="eastAsia" w:ascii="仿宋" w:hAnsi="仿宋" w:eastAsia="仿宋" w:cs="仿宋"/>
          <w:color w:val="404040"/>
          <w:sz w:val="30"/>
          <w:szCs w:val="30"/>
          <w:highlight w:val="none"/>
          <w:lang w:val="en-US" w:eastAsia="zh-CN"/>
        </w:rPr>
        <w:t xml:space="preserve">    </w:t>
      </w:r>
      <w:r>
        <w:rPr>
          <w:rFonts w:hint="eastAsia" w:ascii="仿宋" w:hAnsi="仿宋" w:eastAsia="仿宋" w:cs="仿宋"/>
          <w:color w:val="404040"/>
          <w:sz w:val="30"/>
          <w:szCs w:val="30"/>
          <w:highlight w:val="none"/>
        </w:rPr>
        <w:t>截至报告期末，本行发放的薪酬总额为</w:t>
      </w:r>
      <w:r>
        <w:rPr>
          <w:rFonts w:hint="eastAsia" w:ascii="仿宋" w:hAnsi="仿宋" w:eastAsia="仿宋" w:cs="仿宋"/>
          <w:color w:val="404040"/>
          <w:sz w:val="30"/>
          <w:szCs w:val="30"/>
          <w:highlight w:val="none"/>
          <w:lang w:val="en-US" w:eastAsia="zh-CN"/>
        </w:rPr>
        <w:t>997.82</w:t>
      </w:r>
      <w:r>
        <w:rPr>
          <w:rFonts w:hint="eastAsia" w:ascii="仿宋" w:hAnsi="仿宋" w:eastAsia="仿宋" w:cs="仿宋"/>
          <w:color w:val="404040"/>
          <w:sz w:val="30"/>
          <w:szCs w:val="30"/>
          <w:highlight w:val="none"/>
        </w:rPr>
        <w:t>万元，其中：岗位工资为</w:t>
      </w:r>
      <w:r>
        <w:rPr>
          <w:rFonts w:hint="eastAsia" w:ascii="仿宋" w:hAnsi="仿宋" w:eastAsia="仿宋" w:cs="仿宋"/>
          <w:color w:val="404040"/>
          <w:sz w:val="30"/>
          <w:szCs w:val="30"/>
          <w:highlight w:val="none"/>
          <w:lang w:val="en-US" w:eastAsia="zh-CN"/>
        </w:rPr>
        <w:t>754.07</w:t>
      </w:r>
      <w:r>
        <w:rPr>
          <w:rFonts w:hint="eastAsia" w:ascii="仿宋" w:hAnsi="仿宋" w:eastAsia="仿宋" w:cs="仿宋"/>
          <w:color w:val="404040"/>
          <w:sz w:val="30"/>
          <w:szCs w:val="30"/>
          <w:highlight w:val="none"/>
        </w:rPr>
        <w:t>万元，五险一金支出为</w:t>
      </w:r>
      <w:r>
        <w:rPr>
          <w:rFonts w:hint="eastAsia" w:ascii="仿宋" w:hAnsi="仿宋" w:eastAsia="仿宋" w:cs="仿宋"/>
          <w:color w:val="404040"/>
          <w:sz w:val="30"/>
          <w:szCs w:val="30"/>
          <w:highlight w:val="none"/>
          <w:lang w:val="en-US" w:eastAsia="zh-CN"/>
        </w:rPr>
        <w:t>243.75</w:t>
      </w:r>
      <w:r>
        <w:rPr>
          <w:rFonts w:hint="eastAsia" w:ascii="仿宋" w:hAnsi="仿宋" w:eastAsia="仿宋" w:cs="仿宋"/>
          <w:color w:val="404040"/>
          <w:sz w:val="30"/>
          <w:szCs w:val="30"/>
          <w:highlight w:val="none"/>
        </w:rPr>
        <w:t>万元。</w:t>
      </w:r>
      <w:bookmarkEnd w:id="19"/>
    </w:p>
    <w:p>
      <w:pPr>
        <w:pStyle w:val="7"/>
        <w:spacing w:before="0" w:beforeAutospacing="0" w:after="0" w:afterAutospacing="0"/>
        <w:jc w:val="both"/>
        <w:rPr>
          <w:rFonts w:hint="eastAsia" w:ascii="仿宋" w:hAnsi="仿宋" w:eastAsia="仿宋" w:cs="仿宋"/>
          <w:color w:val="404040"/>
          <w:sz w:val="30"/>
          <w:szCs w:val="30"/>
          <w:highlight w:val="none"/>
        </w:rPr>
      </w:pPr>
      <w:r>
        <w:rPr>
          <w:rFonts w:hint="eastAsia" w:ascii="仿宋" w:hAnsi="仿宋" w:eastAsia="仿宋" w:cs="仿宋"/>
          <w:color w:val="000000"/>
          <w:sz w:val="30"/>
          <w:szCs w:val="30"/>
          <w:highlight w:val="none"/>
        </w:rPr>
        <w:t>（四）其他事项</w:t>
      </w:r>
    </w:p>
    <w:p>
      <w:pPr>
        <w:pStyle w:val="7"/>
        <w:spacing w:before="0" w:beforeAutospacing="0" w:after="0" w:afterAutospacing="0"/>
        <w:jc w:val="both"/>
        <w:rPr>
          <w:rFonts w:hint="eastAsia" w:ascii="仿宋" w:hAnsi="仿宋" w:eastAsia="仿宋" w:cs="仿宋"/>
          <w:color w:val="404040"/>
          <w:sz w:val="30"/>
          <w:szCs w:val="30"/>
          <w:highlight w:val="none"/>
        </w:rPr>
      </w:pPr>
      <w:r>
        <w:rPr>
          <w:rFonts w:hint="eastAsia" w:ascii="仿宋" w:hAnsi="仿宋" w:eastAsia="仿宋" w:cs="仿宋"/>
          <w:color w:val="000000"/>
          <w:sz w:val="30"/>
          <w:szCs w:val="30"/>
          <w:highlight w:val="none"/>
          <w:lang w:val="en-US" w:eastAsia="zh-CN"/>
        </w:rPr>
        <w:t xml:space="preserve">    </w:t>
      </w:r>
      <w:r>
        <w:rPr>
          <w:rFonts w:hint="eastAsia" w:ascii="仿宋" w:hAnsi="仿宋" w:eastAsia="仿宋" w:cs="仿宋"/>
          <w:color w:val="000000"/>
          <w:sz w:val="30"/>
          <w:szCs w:val="30"/>
          <w:highlight w:val="none"/>
        </w:rPr>
        <w:t>报告期内，没有对本行财务状况、经营成果有重大影响的事项。</w:t>
      </w:r>
    </w:p>
    <w:p>
      <w:pPr>
        <w:pStyle w:val="2"/>
        <w:spacing w:before="0" w:beforeAutospacing="0" w:after="0" w:afterAutospacing="0" w:line="387" w:lineRule="atLeast"/>
        <w:jc w:val="center"/>
        <w:rPr>
          <w:rFonts w:ascii="微软雅黑" w:hAnsi="微软雅黑" w:eastAsia="微软雅黑"/>
          <w:color w:val="404040"/>
          <w:sz w:val="17"/>
          <w:szCs w:val="17"/>
        </w:rPr>
      </w:pPr>
      <w:bookmarkStart w:id="20" w:name="_Toc481080003"/>
      <w:r>
        <w:rPr>
          <w:rStyle w:val="10"/>
          <w:rFonts w:hint="eastAsia"/>
          <w:b/>
          <w:bCs/>
          <w:color w:val="000000"/>
          <w:sz w:val="30"/>
          <w:szCs w:val="30"/>
        </w:rPr>
        <w:t>第四章 </w:t>
      </w:r>
      <w:r>
        <w:rPr>
          <w:rStyle w:val="11"/>
          <w:rFonts w:hint="eastAsia"/>
          <w:color w:val="000000"/>
          <w:sz w:val="30"/>
          <w:szCs w:val="30"/>
        </w:rPr>
        <w:t> </w:t>
      </w:r>
      <w:bookmarkEnd w:id="20"/>
      <w:r>
        <w:rPr>
          <w:rStyle w:val="10"/>
          <w:rFonts w:hint="eastAsia"/>
          <w:b/>
          <w:bCs/>
          <w:color w:val="000000"/>
          <w:sz w:val="30"/>
          <w:szCs w:val="30"/>
        </w:rPr>
        <w:t>风险管理情况</w:t>
      </w:r>
    </w:p>
    <w:p>
      <w:pPr>
        <w:pStyle w:val="3"/>
        <w:spacing w:line="322" w:lineRule="atLeast"/>
        <w:jc w:val="both"/>
        <w:rPr>
          <w:rFonts w:ascii="微软雅黑" w:hAnsi="微软雅黑" w:eastAsia="微软雅黑"/>
          <w:color w:val="404040"/>
          <w:sz w:val="15"/>
          <w:szCs w:val="15"/>
        </w:rPr>
      </w:pPr>
      <w:r>
        <w:rPr>
          <w:rStyle w:val="10"/>
          <w:rFonts w:ascii="Arial" w:hAnsi="Arial" w:eastAsia="微软雅黑" w:cs="Arial"/>
          <w:b/>
          <w:bCs/>
          <w:color w:val="404040"/>
        </w:rPr>
        <w:t>   </w:t>
      </w:r>
      <w:r>
        <w:rPr>
          <w:rStyle w:val="11"/>
          <w:rFonts w:ascii="Arial" w:hAnsi="Arial" w:eastAsia="微软雅黑" w:cs="Arial"/>
          <w:color w:val="404040"/>
        </w:rPr>
        <w:t> </w:t>
      </w:r>
      <w:bookmarkStart w:id="21" w:name="_Toc481080004"/>
      <w:r>
        <w:rPr>
          <w:rStyle w:val="10"/>
          <w:rFonts w:hint="eastAsia" w:cs="Arial"/>
          <w:b/>
          <w:bCs/>
          <w:color w:val="000000"/>
          <w:sz w:val="28"/>
          <w:szCs w:val="28"/>
        </w:rPr>
        <w:t>一、</w:t>
      </w:r>
      <w:bookmarkEnd w:id="21"/>
      <w:r>
        <w:rPr>
          <w:rStyle w:val="10"/>
          <w:rFonts w:hint="eastAsia" w:cs="Arial"/>
          <w:b/>
          <w:bCs/>
          <w:color w:val="000000"/>
          <w:sz w:val="24"/>
          <w:szCs w:val="24"/>
        </w:rPr>
        <w:t>信用风险状况</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本行面临的信用风险是指交易对方无法在到期日全额偿还本行借贷资金的风险。当交易对方集中于某些相同行业或地理区域时，信用风险随之上升。</w:t>
      </w:r>
    </w:p>
    <w:p>
      <w:pPr>
        <w:pStyle w:val="6"/>
        <w:spacing w:before="0" w:beforeAutospacing="0" w:after="120" w:afterAutospacing="0"/>
        <w:ind w:left="420"/>
        <w:jc w:val="both"/>
        <w:rPr>
          <w:rFonts w:hint="eastAsia" w:ascii="仿宋" w:hAnsi="仿宋" w:eastAsia="仿宋" w:cs="仿宋"/>
          <w:color w:val="404040"/>
          <w:sz w:val="30"/>
          <w:szCs w:val="30"/>
        </w:rPr>
      </w:pPr>
      <w:bookmarkStart w:id="22" w:name="_Toc227401526"/>
      <w:bookmarkEnd w:id="22"/>
      <w:bookmarkStart w:id="23" w:name="_Toc193883047"/>
      <w:bookmarkEnd w:id="23"/>
      <w:bookmarkStart w:id="24" w:name="_Toc322415018"/>
      <w:r>
        <w:rPr>
          <w:rFonts w:hint="eastAsia" w:ascii="仿宋" w:hAnsi="仿宋" w:eastAsia="仿宋" w:cs="仿宋"/>
          <w:color w:val="000000"/>
          <w:sz w:val="30"/>
          <w:szCs w:val="30"/>
        </w:rPr>
        <w:t>（一）董事会、经营管理层信用风险的控制能力</w:t>
      </w:r>
      <w:bookmarkEnd w:id="24"/>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报告期内，本行董事和经营管理层进一步加强信用风险管控，强化政策导向和制度约束，建立和加强风险管理和内部控制机制，定期监测风险状况，提升了资产质量。</w:t>
      </w:r>
    </w:p>
    <w:p>
      <w:pPr>
        <w:pStyle w:val="7"/>
        <w:spacing w:before="0" w:beforeAutospacing="0" w:after="0" w:afterAutospacing="0"/>
        <w:ind w:firstLine="600" w:firstLineChars="200"/>
        <w:jc w:val="both"/>
        <w:rPr>
          <w:rFonts w:hint="eastAsia" w:ascii="仿宋" w:hAnsi="仿宋" w:eastAsia="仿宋" w:cs="仿宋"/>
          <w:color w:val="404040"/>
          <w:sz w:val="30"/>
          <w:szCs w:val="30"/>
        </w:rPr>
      </w:pPr>
      <w:bookmarkStart w:id="25" w:name="_Toc322415019"/>
      <w:r>
        <w:rPr>
          <w:rFonts w:hint="eastAsia" w:ascii="仿宋" w:hAnsi="仿宋" w:eastAsia="仿宋" w:cs="仿宋"/>
          <w:color w:val="000000"/>
          <w:sz w:val="30"/>
          <w:szCs w:val="30"/>
        </w:rPr>
        <w:t>（二）信用风险管理政策</w:t>
      </w:r>
      <w:bookmarkEnd w:id="25"/>
    </w:p>
    <w:p>
      <w:pPr>
        <w:pStyle w:val="7"/>
        <w:spacing w:before="0" w:beforeAutospacing="0" w:after="0" w:afterAutospacing="0"/>
        <w:ind w:firstLine="600" w:firstLineChars="200"/>
        <w:rPr>
          <w:rFonts w:hint="eastAsia" w:ascii="仿宋" w:hAnsi="仿宋" w:eastAsia="仿宋" w:cs="仿宋"/>
          <w:color w:val="404040"/>
          <w:sz w:val="30"/>
          <w:szCs w:val="30"/>
        </w:rPr>
      </w:pPr>
      <w:r>
        <w:rPr>
          <w:rFonts w:hint="eastAsia" w:ascii="仿宋" w:hAnsi="仿宋" w:eastAsia="仿宋" w:cs="仿宋"/>
          <w:color w:val="000000"/>
          <w:sz w:val="30"/>
          <w:szCs w:val="30"/>
        </w:rPr>
        <w:t>本行产生信用风险的主要是信贷业务。本行信贷业务政策是遵循国家法律法规，严格执行国家的产业政策，以安全性、流动性、效益性为经营原则，以小额、流动、分散为信贷原则，准确、高效、安全地运作信贷资金，控制关联交易风险，保护存款人和其他客户的合法权益。</w:t>
      </w:r>
    </w:p>
    <w:p>
      <w:pPr>
        <w:pStyle w:val="6"/>
        <w:spacing w:before="0" w:beforeAutospacing="0" w:after="0" w:afterAutospacing="0"/>
        <w:ind w:firstLine="600" w:firstLineChars="200"/>
        <w:jc w:val="both"/>
        <w:rPr>
          <w:rFonts w:hint="eastAsia" w:ascii="仿宋" w:hAnsi="仿宋" w:eastAsia="仿宋" w:cs="仿宋"/>
          <w:color w:val="404040"/>
          <w:sz w:val="30"/>
          <w:szCs w:val="30"/>
        </w:rPr>
      </w:pPr>
      <w:bookmarkStart w:id="26" w:name="_Toc193883045"/>
      <w:r>
        <w:rPr>
          <w:rFonts w:hint="eastAsia" w:ascii="仿宋" w:hAnsi="仿宋" w:eastAsia="仿宋" w:cs="仿宋"/>
          <w:color w:val="000000"/>
          <w:sz w:val="30"/>
          <w:szCs w:val="30"/>
        </w:rPr>
        <w:t>（三）风险计量、检测和管理信息系统</w:t>
      </w:r>
      <w:bookmarkEnd w:id="26"/>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1、风险计量。本行采取客户评级来实现风险计量。本行信用等级评定设定统一的评级标准，并按得分高低分为AAA、AA、A、B、和C共五个等级。</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2、风险检测。本行采取风险预警的方法来实现风险检测。本行根据各种渠道获得的信息，通过一定的技术手段，对贷款客户的预警信号进行识别，分析、衡量其风险状况，并进行动态监测和早期预警，实现对风险“防患于未然”的一种“防错纠错机制”。</w:t>
      </w:r>
    </w:p>
    <w:p>
      <w:pPr>
        <w:pStyle w:val="7"/>
        <w:spacing w:before="0" w:beforeAutospacing="0" w:after="0" w:afterAutospacing="0"/>
        <w:ind w:firstLine="600" w:firstLineChars="200"/>
        <w:rPr>
          <w:rFonts w:hint="eastAsia" w:ascii="仿宋" w:hAnsi="仿宋" w:eastAsia="仿宋" w:cs="仿宋"/>
          <w:color w:val="404040"/>
          <w:sz w:val="30"/>
          <w:szCs w:val="30"/>
        </w:rPr>
      </w:pPr>
      <w:r>
        <w:rPr>
          <w:rFonts w:hint="eastAsia" w:ascii="仿宋" w:hAnsi="仿宋" w:eastAsia="仿宋" w:cs="仿宋"/>
          <w:color w:val="000000"/>
          <w:sz w:val="30"/>
          <w:szCs w:val="30"/>
        </w:rPr>
        <w:t>3、管理信息系统。目前，本行的信贷管理系统只对客户贷款的信用情况进行监督。</w:t>
      </w:r>
    </w:p>
    <w:p>
      <w:pPr>
        <w:pStyle w:val="7"/>
        <w:spacing w:before="0" w:beforeAutospacing="0" w:after="0" w:afterAutospacing="0"/>
        <w:ind w:firstLine="600" w:firstLineChars="200"/>
        <w:rPr>
          <w:rFonts w:hint="eastAsia" w:ascii="仿宋" w:hAnsi="仿宋" w:eastAsia="仿宋" w:cs="仿宋"/>
          <w:color w:val="404040"/>
          <w:sz w:val="30"/>
          <w:szCs w:val="30"/>
        </w:rPr>
      </w:pPr>
      <w:r>
        <w:rPr>
          <w:rFonts w:hint="eastAsia" w:ascii="仿宋" w:hAnsi="仿宋" w:eastAsia="仿宋" w:cs="仿宋"/>
          <w:color w:val="000000"/>
          <w:sz w:val="30"/>
          <w:szCs w:val="30"/>
        </w:rPr>
        <w:t>（四）内部控制和全面审计情况</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本行制定了《信贷管理制度》、《</w:t>
      </w:r>
      <w:r>
        <w:rPr>
          <w:rFonts w:hint="eastAsia" w:ascii="仿宋" w:hAnsi="仿宋" w:eastAsia="仿宋" w:cs="仿宋"/>
          <w:color w:val="000000"/>
          <w:sz w:val="30"/>
          <w:szCs w:val="30"/>
          <w:lang w:val="en-US" w:eastAsia="zh-CN"/>
        </w:rPr>
        <w:t>不良贷款</w:t>
      </w:r>
      <w:r>
        <w:rPr>
          <w:rFonts w:hint="eastAsia" w:ascii="仿宋" w:hAnsi="仿宋" w:eastAsia="仿宋" w:cs="仿宋"/>
          <w:color w:val="000000"/>
          <w:sz w:val="30"/>
          <w:szCs w:val="30"/>
        </w:rPr>
        <w:t>责任追究</w:t>
      </w:r>
      <w:r>
        <w:rPr>
          <w:rFonts w:hint="eastAsia" w:ascii="仿宋" w:hAnsi="仿宋" w:eastAsia="仿宋" w:cs="仿宋"/>
          <w:color w:val="000000"/>
          <w:sz w:val="30"/>
          <w:szCs w:val="30"/>
          <w:lang w:val="en-US" w:eastAsia="zh-CN"/>
        </w:rPr>
        <w:t>管理办法</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农户授信评级管理</w:t>
      </w:r>
      <w:r>
        <w:rPr>
          <w:rFonts w:hint="eastAsia" w:ascii="仿宋" w:hAnsi="仿宋" w:eastAsia="仿宋" w:cs="仿宋"/>
          <w:color w:val="000000"/>
          <w:sz w:val="30"/>
          <w:szCs w:val="30"/>
        </w:rPr>
        <w:t>办法》等制度，逐步建立了一个比较完善的内控制度体系。报告期内，发起行</w:t>
      </w:r>
      <w:r>
        <w:rPr>
          <w:rFonts w:hint="eastAsia" w:ascii="仿宋" w:hAnsi="仿宋" w:eastAsia="仿宋" w:cs="仿宋"/>
          <w:color w:val="000000"/>
          <w:sz w:val="30"/>
          <w:szCs w:val="30"/>
          <w:lang w:val="en-US" w:eastAsia="zh-CN"/>
        </w:rPr>
        <w:t>侯马农商行</w:t>
      </w:r>
      <w:r>
        <w:rPr>
          <w:rFonts w:hint="eastAsia" w:ascii="仿宋" w:hAnsi="仿宋" w:eastAsia="仿宋" w:cs="仿宋"/>
          <w:color w:val="000000"/>
          <w:sz w:val="30"/>
          <w:szCs w:val="30"/>
        </w:rPr>
        <w:t>每年对本行的信贷业务开展情况进行了全面审计，重点对贷款三查调查真实性、审查审批合规性与风险控制有效性、贷款</w:t>
      </w:r>
      <w:r>
        <w:rPr>
          <w:rFonts w:hint="eastAsia" w:ascii="仿宋" w:hAnsi="仿宋" w:eastAsia="仿宋" w:cs="仿宋"/>
          <w:color w:val="000000"/>
          <w:sz w:val="30"/>
          <w:szCs w:val="30"/>
          <w:lang w:val="en-US" w:eastAsia="zh-CN"/>
        </w:rPr>
        <w:t>出</w:t>
      </w:r>
      <w:r>
        <w:rPr>
          <w:rFonts w:hint="eastAsia" w:ascii="仿宋" w:hAnsi="仿宋" w:eastAsia="仿宋" w:cs="仿宋"/>
          <w:color w:val="000000"/>
          <w:sz w:val="30"/>
          <w:szCs w:val="30"/>
        </w:rPr>
        <w:t>款支付合规性与风险控制有效性、贷后管理及有效性、贷款收回与展期、续贷、追加额度合规性与风险控制有效性等等进行审计，通过开展审计，揭示本行存在的缺陷与不足之处，堵塞漏洞。</w:t>
      </w:r>
    </w:p>
    <w:p>
      <w:pPr>
        <w:pStyle w:val="6"/>
        <w:spacing w:before="0" w:beforeAutospacing="0" w:after="0" w:afterAutospacing="0"/>
        <w:ind w:firstLine="600" w:firstLineChars="200"/>
        <w:jc w:val="both"/>
        <w:rPr>
          <w:rFonts w:hint="eastAsia" w:ascii="仿宋" w:hAnsi="仿宋" w:eastAsia="仿宋" w:cs="仿宋"/>
          <w:color w:val="404040"/>
          <w:sz w:val="30"/>
          <w:szCs w:val="30"/>
        </w:rPr>
      </w:pPr>
    </w:p>
    <w:p>
      <w:pPr>
        <w:pStyle w:val="7"/>
        <w:spacing w:before="0" w:beforeAutospacing="0" w:after="0" w:afterAutospacing="0"/>
        <w:ind w:firstLine="300" w:firstLineChars="100"/>
        <w:rPr>
          <w:rFonts w:hint="eastAsia" w:ascii="仿宋" w:hAnsi="仿宋" w:eastAsia="仿宋" w:cs="仿宋"/>
          <w:color w:val="404040"/>
          <w:sz w:val="30"/>
          <w:szCs w:val="30"/>
        </w:rPr>
      </w:pPr>
      <w:r>
        <w:rPr>
          <w:rFonts w:hint="eastAsia" w:ascii="仿宋" w:hAnsi="仿宋" w:eastAsia="仿宋" w:cs="仿宋"/>
          <w:color w:val="000000"/>
          <w:sz w:val="30"/>
          <w:szCs w:val="30"/>
        </w:rPr>
        <w:t>（五）其他披露情况</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1、产生信用风险的业务活动：各类信贷业务活动。</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2、信用风险管理组织结构和职责划分</w:t>
      </w:r>
    </w:p>
    <w:p>
      <w:pPr>
        <w:pStyle w:val="7"/>
        <w:spacing w:before="0" w:beforeAutospacing="0" w:after="0" w:afterAutospacing="0"/>
        <w:jc w:val="center"/>
        <w:rPr>
          <w:rFonts w:ascii="微软雅黑" w:hAnsi="微软雅黑" w:eastAsia="微软雅黑"/>
          <w:color w:val="404040"/>
          <w:sz w:val="15"/>
          <w:szCs w:val="15"/>
        </w:rPr>
      </w:pPr>
      <w:r>
        <w:rPr>
          <w:rFonts w:hint="eastAsia" w:ascii="微软雅黑" w:hAnsi="微软雅黑" w:eastAsia="微软雅黑"/>
          <w:color w:val="404040"/>
          <w:sz w:val="15"/>
          <w:szCs w:val="15"/>
        </w:rPr>
        <w:t> </w:t>
      </w:r>
    </w:p>
    <w:tbl>
      <w:tblPr>
        <w:tblStyle w:val="8"/>
        <w:tblW w:w="8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53" w:type="dxa"/>
            <w:tcBorders>
              <w:top w:val="single" w:color="DDDDDD" w:sz="4" w:space="0"/>
              <w:left w:val="single" w:color="DDDDDD" w:sz="4" w:space="0"/>
              <w:bottom w:val="single" w:color="DDDDDD" w:sz="4" w:space="0"/>
              <w:right w:val="single" w:color="DDDDDD" w:sz="4" w:space="0"/>
            </w:tcBorders>
            <w:tcMar>
              <w:top w:w="54" w:type="dxa"/>
              <w:left w:w="107" w:type="dxa"/>
              <w:bottom w:w="54" w:type="dxa"/>
              <w:right w:w="107"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Style w:val="10"/>
                <w:rFonts w:hint="eastAsia" w:eastAsia="微软雅黑"/>
                <w:color w:val="404040"/>
                <w:sz w:val="15"/>
                <w:szCs w:val="15"/>
                <w:lang w:val="en-US" w:eastAsia="zh-CN"/>
              </w:rPr>
              <w:t>董事会</w:t>
            </w:r>
          </w:p>
        </w:tc>
      </w:tr>
    </w:tbl>
    <w:p>
      <w:pPr>
        <w:rPr>
          <w:vanish/>
        </w:rPr>
      </w:pPr>
    </w:p>
    <w:tbl>
      <w:tblPr>
        <w:tblStyle w:val="8"/>
        <w:tblW w:w="8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53" w:type="dxa"/>
            <w:tcBorders>
              <w:top w:val="single" w:color="DDDDDD" w:sz="4" w:space="0"/>
              <w:left w:val="single" w:color="DDDDDD" w:sz="4" w:space="0"/>
              <w:bottom w:val="single" w:color="DDDDDD" w:sz="4" w:space="0"/>
              <w:right w:val="single" w:color="DDDDDD" w:sz="4" w:space="0"/>
            </w:tcBorders>
            <w:tcMar>
              <w:top w:w="54" w:type="dxa"/>
              <w:left w:w="107" w:type="dxa"/>
              <w:bottom w:w="54" w:type="dxa"/>
              <w:right w:w="107"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olor w:val="404040"/>
                <w:sz w:val="15"/>
                <w:szCs w:val="15"/>
              </w:rPr>
              <w:t>行长</w:t>
            </w:r>
          </w:p>
        </w:tc>
      </w:tr>
    </w:tbl>
    <w:p>
      <w:pPr>
        <w:rPr>
          <w:vanish/>
        </w:rPr>
      </w:pPr>
    </w:p>
    <w:tbl>
      <w:tblPr>
        <w:tblStyle w:val="8"/>
        <w:tblW w:w="8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53" w:type="dxa"/>
            <w:tcBorders>
              <w:top w:val="single" w:color="DDDDDD" w:sz="4" w:space="0"/>
              <w:left w:val="single" w:color="DDDDDD" w:sz="4" w:space="0"/>
              <w:bottom w:val="single" w:color="DDDDDD" w:sz="4" w:space="0"/>
              <w:right w:val="single" w:color="DDDDDD" w:sz="4" w:space="0"/>
            </w:tcBorders>
            <w:tcMar>
              <w:top w:w="54" w:type="dxa"/>
              <w:left w:w="107" w:type="dxa"/>
              <w:bottom w:w="54" w:type="dxa"/>
              <w:right w:w="107"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lang w:val="en-US" w:eastAsia="zh-CN"/>
              </w:rPr>
            </w:pPr>
            <w:r>
              <w:rPr>
                <w:rStyle w:val="10"/>
                <w:rFonts w:hint="eastAsia" w:eastAsia="微软雅黑"/>
                <w:color w:val="404040"/>
                <w:sz w:val="15"/>
                <w:szCs w:val="15"/>
                <w:lang w:val="en-US" w:eastAsia="zh-CN"/>
              </w:rPr>
              <w:t>风险合规部</w:t>
            </w:r>
          </w:p>
        </w:tc>
      </w:tr>
    </w:tbl>
    <w:p>
      <w:pPr>
        <w:rPr>
          <w:vanish/>
        </w:rPr>
      </w:pPr>
    </w:p>
    <w:tbl>
      <w:tblPr>
        <w:tblStyle w:val="8"/>
        <w:tblW w:w="8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53" w:type="dxa"/>
            <w:tcBorders>
              <w:top w:val="single" w:color="DDDDDD" w:sz="4" w:space="0"/>
              <w:left w:val="single" w:color="DDDDDD" w:sz="4" w:space="0"/>
              <w:bottom w:val="single" w:color="DDDDDD" w:sz="4" w:space="0"/>
              <w:right w:val="single" w:color="DDDDDD" w:sz="4" w:space="0"/>
            </w:tcBorders>
            <w:tcMar>
              <w:top w:w="54" w:type="dxa"/>
              <w:left w:w="107" w:type="dxa"/>
              <w:bottom w:w="54" w:type="dxa"/>
              <w:right w:w="107"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olor w:val="404040"/>
                <w:sz w:val="15"/>
                <w:szCs w:val="15"/>
              </w:rPr>
              <w:t>贷审会</w:t>
            </w:r>
          </w:p>
        </w:tc>
      </w:tr>
    </w:tbl>
    <w:p>
      <w:pPr>
        <w:rPr>
          <w:vanish/>
        </w:rPr>
      </w:pPr>
    </w:p>
    <w:tbl>
      <w:tblPr>
        <w:tblStyle w:val="8"/>
        <w:tblW w:w="8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53" w:type="dxa"/>
            <w:tcBorders>
              <w:top w:val="single" w:color="DDDDDD" w:sz="4" w:space="0"/>
              <w:left w:val="single" w:color="DDDDDD" w:sz="4" w:space="0"/>
              <w:bottom w:val="single" w:color="DDDDDD" w:sz="4" w:space="0"/>
              <w:right w:val="single" w:color="DDDDDD" w:sz="4" w:space="0"/>
            </w:tcBorders>
            <w:tcMar>
              <w:top w:w="54" w:type="dxa"/>
              <w:left w:w="107" w:type="dxa"/>
              <w:bottom w:w="54" w:type="dxa"/>
              <w:right w:w="107"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olor w:val="404040"/>
                <w:sz w:val="15"/>
                <w:szCs w:val="15"/>
              </w:rPr>
              <w:t>营业部</w:t>
            </w:r>
          </w:p>
        </w:tc>
      </w:tr>
    </w:tbl>
    <w:p>
      <w:pPr>
        <w:rPr>
          <w:vanish/>
        </w:rPr>
      </w:pPr>
    </w:p>
    <w:p>
      <w:pPr>
        <w:rPr>
          <w:vanish/>
        </w:rPr>
      </w:pPr>
    </w:p>
    <w:tbl>
      <w:tblPr>
        <w:tblStyle w:val="8"/>
        <w:tblW w:w="8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253" w:type="dxa"/>
            <w:tcBorders>
              <w:top w:val="single" w:color="DDDDDD" w:sz="4" w:space="0"/>
              <w:left w:val="single" w:color="DDDDDD" w:sz="4" w:space="0"/>
              <w:bottom w:val="single" w:color="DDDDDD" w:sz="4" w:space="0"/>
              <w:right w:val="single" w:color="DDDDDD" w:sz="4" w:space="0"/>
            </w:tcBorders>
            <w:tcMar>
              <w:top w:w="54" w:type="dxa"/>
              <w:left w:w="107" w:type="dxa"/>
              <w:bottom w:w="54" w:type="dxa"/>
              <w:right w:w="107"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Style w:val="10"/>
                <w:rFonts w:hint="eastAsia" w:eastAsia="微软雅黑"/>
                <w:color w:val="404040"/>
                <w:sz w:val="15"/>
                <w:szCs w:val="15"/>
                <w:lang w:val="en-US" w:eastAsia="zh-CN"/>
              </w:rPr>
              <w:t>综合业务部</w:t>
            </w:r>
          </w:p>
        </w:tc>
      </w:tr>
    </w:tbl>
    <w:p>
      <w:pPr>
        <w:pStyle w:val="7"/>
        <w:spacing w:before="0" w:beforeAutospacing="0" w:after="0" w:afterAutospacing="0"/>
        <w:rPr>
          <w:rFonts w:ascii="微软雅黑" w:hAnsi="微软雅黑" w:eastAsia="微软雅黑"/>
          <w:color w:val="404040"/>
          <w:sz w:val="15"/>
          <w:szCs w:val="15"/>
        </w:rPr>
      </w:pPr>
      <w:r>
        <w:rPr>
          <w:rFonts w:ascii="微软雅黑" w:hAnsi="微软雅黑" w:eastAsia="微软雅黑" w:cs="宋体"/>
          <w:color w:val="404040"/>
          <w:sz w:val="15"/>
          <w:szCs w:val="15"/>
          <w:lang w:val="en-US" w:eastAsia="zh-CN" w:bidi="ar-SA"/>
        </w:rPr>
        <mc:AlternateContent>
          <mc:Choice Requires="wps">
            <w:drawing>
              <wp:inline distT="0" distB="0" distL="114300" distR="114300">
                <wp:extent cx="302260" cy="30226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2260" cy="302260"/>
                        </a:xfrm>
                        <a:prstGeom prst="rect">
                          <a:avLst/>
                        </a:prstGeom>
                        <a:noFill/>
                        <a:ln>
                          <a:noFill/>
                        </a:ln>
                      </wps:spPr>
                      <wps:bodyPr upright="1"/>
                    </wps:wsp>
                  </a:graphicData>
                </a:graphic>
              </wp:inline>
            </w:drawing>
          </mc:Choice>
          <mc:Fallback>
            <w:pict>
              <v:rect id="_x0000_s1026" o:spid="_x0000_s1026" o:spt="1" style="height:23.8pt;width:23.8pt;" filled="f" stroked="f" coordsize="21600,21600" o:gfxdata="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BJ8Sog0wAAAAMBAAAPAAAAAAAAAAEAIAAAACIAAABkcnMvZG93bnJl&#10;di54bWxQSwECFAAUAAAACACHTuJACtxkCJABAAATAwAADgAAAAAAAAABACAAAAAiAQAAZHJzL2Uy&#10;b0RvYy54bWxQSwUGAAAAAAYABgBZAQAAJAUAAAAA&#10;">
                <v:fill on="f" focussize="0,0"/>
                <v:stroke on="f"/>
                <v:imagedata o:title=""/>
                <o:lock v:ext="edit" aspectratio="t"/>
                <w10:wrap type="none"/>
                <w10:anchorlock/>
              </v:rect>
            </w:pict>
          </mc:Fallback>
        </mc:AlternateConten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404040"/>
          <w:sz w:val="30"/>
          <w:szCs w:val="30"/>
        </w:rPr>
        <w:t> </w:t>
      </w:r>
      <w:r>
        <w:rPr>
          <w:rFonts w:hint="eastAsia" w:ascii="仿宋" w:hAnsi="仿宋" w:eastAsia="仿宋" w:cs="仿宋"/>
          <w:color w:val="000000"/>
          <w:sz w:val="30"/>
          <w:szCs w:val="30"/>
          <w:lang w:val="en-US" w:eastAsia="zh-CN"/>
        </w:rPr>
        <w:t>综合业务</w:t>
      </w:r>
      <w:r>
        <w:rPr>
          <w:rFonts w:hint="eastAsia" w:ascii="仿宋" w:hAnsi="仿宋" w:eastAsia="仿宋" w:cs="仿宋"/>
          <w:color w:val="000000"/>
          <w:sz w:val="30"/>
          <w:szCs w:val="30"/>
        </w:rPr>
        <w:t>部主要负责贷款</w:t>
      </w:r>
      <w:r>
        <w:rPr>
          <w:rFonts w:hint="eastAsia" w:ascii="仿宋" w:hAnsi="仿宋" w:eastAsia="仿宋" w:cs="仿宋"/>
          <w:color w:val="000000"/>
          <w:sz w:val="30"/>
          <w:szCs w:val="30"/>
          <w:lang w:val="en-US" w:eastAsia="zh-CN"/>
        </w:rPr>
        <w:t>调查、</w:t>
      </w:r>
      <w:r>
        <w:rPr>
          <w:rFonts w:hint="eastAsia" w:ascii="仿宋" w:hAnsi="仿宋" w:eastAsia="仿宋" w:cs="仿宋"/>
          <w:color w:val="000000"/>
          <w:sz w:val="30"/>
          <w:szCs w:val="30"/>
        </w:rPr>
        <w:t>审查、</w:t>
      </w:r>
      <w:r>
        <w:rPr>
          <w:rFonts w:hint="eastAsia" w:ascii="仿宋" w:hAnsi="仿宋" w:eastAsia="仿宋" w:cs="仿宋"/>
          <w:color w:val="000000"/>
          <w:sz w:val="30"/>
          <w:szCs w:val="30"/>
          <w:lang w:val="en-US" w:eastAsia="zh-CN"/>
        </w:rPr>
        <w:t>贷后管理</w:t>
      </w:r>
      <w:r>
        <w:rPr>
          <w:rFonts w:hint="eastAsia" w:ascii="仿宋" w:hAnsi="仿宋" w:eastAsia="仿宋" w:cs="仿宋"/>
          <w:color w:val="000000"/>
          <w:sz w:val="30"/>
          <w:szCs w:val="30"/>
        </w:rPr>
        <w:t>、制度建设、不良贷款管理等工作；营业部主要负责贷款发放与支付的审核与资金监控；</w:t>
      </w:r>
      <w:r>
        <w:rPr>
          <w:rFonts w:hint="eastAsia" w:ascii="仿宋" w:hAnsi="仿宋" w:eastAsia="仿宋" w:cs="仿宋"/>
          <w:color w:val="000000"/>
          <w:sz w:val="30"/>
          <w:szCs w:val="30"/>
          <w:lang w:val="en-US" w:eastAsia="zh-CN"/>
        </w:rPr>
        <w:t>风险合规</w:t>
      </w:r>
      <w:r>
        <w:rPr>
          <w:rFonts w:hint="eastAsia" w:ascii="仿宋" w:hAnsi="仿宋" w:eastAsia="仿宋" w:cs="仿宋"/>
          <w:color w:val="000000"/>
          <w:sz w:val="30"/>
          <w:szCs w:val="30"/>
        </w:rPr>
        <w:t>部主要负责贷款合规风险、道德风险检查；贷审会负责授权范围内贷款的审批；行长负责对贷款进行审批。</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3、资产风险分类的程序和方法。本行通过“资产五级分类法”来规范资产风险分类管理，采取“按</w:t>
      </w:r>
      <w:r>
        <w:rPr>
          <w:rFonts w:hint="eastAsia" w:ascii="仿宋" w:hAnsi="仿宋" w:eastAsia="仿宋" w:cs="仿宋"/>
          <w:color w:val="000000"/>
          <w:sz w:val="30"/>
          <w:szCs w:val="30"/>
          <w:lang w:val="en-US" w:eastAsia="zh-CN"/>
        </w:rPr>
        <w:t>月</w:t>
      </w:r>
      <w:r>
        <w:rPr>
          <w:rFonts w:hint="eastAsia" w:ascii="仿宋" w:hAnsi="仿宋" w:eastAsia="仿宋" w:cs="仿宋"/>
          <w:color w:val="000000"/>
          <w:sz w:val="30"/>
          <w:szCs w:val="30"/>
        </w:rPr>
        <w:t>认定，实时调整”的原则，按</w:t>
      </w:r>
      <w:r>
        <w:rPr>
          <w:rFonts w:hint="eastAsia" w:ascii="仿宋" w:hAnsi="仿宋" w:eastAsia="仿宋" w:cs="仿宋"/>
          <w:color w:val="000000"/>
          <w:sz w:val="30"/>
          <w:szCs w:val="30"/>
          <w:lang w:val="en-US" w:eastAsia="zh-CN"/>
        </w:rPr>
        <w:t>月</w:t>
      </w:r>
      <w:r>
        <w:rPr>
          <w:rFonts w:hint="eastAsia" w:ascii="仿宋" w:hAnsi="仿宋" w:eastAsia="仿宋" w:cs="仿宋"/>
          <w:color w:val="000000"/>
          <w:sz w:val="30"/>
          <w:szCs w:val="30"/>
        </w:rPr>
        <w:t>对所有信贷资产进行一次五级分类，同时将信贷资产质量五级分类纳入日常信贷管理工作，根据信贷资产风险变化情况进行实时监控和调整,按</w:t>
      </w:r>
      <w:r>
        <w:rPr>
          <w:rFonts w:hint="eastAsia" w:ascii="仿宋" w:hAnsi="仿宋" w:eastAsia="仿宋" w:cs="仿宋"/>
          <w:color w:val="000000"/>
          <w:sz w:val="30"/>
          <w:szCs w:val="30"/>
          <w:lang w:val="en-US" w:eastAsia="zh-CN"/>
        </w:rPr>
        <w:t>月</w:t>
      </w:r>
      <w:r>
        <w:rPr>
          <w:rFonts w:hint="eastAsia" w:ascii="仿宋" w:hAnsi="仿宋" w:eastAsia="仿宋" w:cs="仿宋"/>
          <w:color w:val="000000"/>
          <w:sz w:val="30"/>
          <w:szCs w:val="30"/>
        </w:rPr>
        <w:t>统计汇总上报五级分类结果。本行通过现场查阅和分析手段，获取借款人财务、现金流量、担保、非财务等方面的信息。分类时对影响借款人还款能力的各类因素评估结论，作为判定贷款类别的主要依据，并注重第一还款来源。</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4、信用风险分布情况。本行产生信用风险的活动主要是各类信贷业务活动，信用风险主要分布在信贷业务。报告</w:t>
      </w:r>
      <w:r>
        <w:rPr>
          <w:rFonts w:hint="eastAsia" w:ascii="仿宋" w:hAnsi="仿宋" w:eastAsia="仿宋" w:cs="仿宋"/>
          <w:color w:val="000000"/>
          <w:sz w:val="30"/>
          <w:szCs w:val="30"/>
          <w:highlight w:val="none"/>
        </w:rPr>
        <w:t>期末，本行正常类贷款</w:t>
      </w:r>
      <w:r>
        <w:rPr>
          <w:rFonts w:hint="eastAsia" w:ascii="仿宋" w:hAnsi="仿宋" w:eastAsia="仿宋" w:cs="仿宋"/>
          <w:color w:val="000000"/>
          <w:sz w:val="30"/>
          <w:szCs w:val="30"/>
          <w:highlight w:val="none"/>
          <w:lang w:val="en-US" w:eastAsia="zh-CN"/>
        </w:rPr>
        <w:t>25408.23</w:t>
      </w:r>
      <w:r>
        <w:rPr>
          <w:rFonts w:hint="eastAsia" w:ascii="仿宋" w:hAnsi="仿宋" w:eastAsia="仿宋" w:cs="仿宋"/>
          <w:color w:val="000000"/>
          <w:sz w:val="30"/>
          <w:szCs w:val="30"/>
          <w:highlight w:val="none"/>
        </w:rPr>
        <w:t>万元，关注类贷款</w:t>
      </w:r>
      <w:r>
        <w:rPr>
          <w:rFonts w:hint="eastAsia" w:ascii="仿宋" w:hAnsi="仿宋" w:eastAsia="仿宋" w:cs="仿宋"/>
          <w:color w:val="000000"/>
          <w:sz w:val="30"/>
          <w:szCs w:val="30"/>
          <w:highlight w:val="none"/>
          <w:lang w:val="en-US" w:eastAsia="zh-CN"/>
        </w:rPr>
        <w:t>46.43</w:t>
      </w:r>
      <w:r>
        <w:rPr>
          <w:rFonts w:hint="eastAsia" w:ascii="仿宋" w:hAnsi="仿宋" w:eastAsia="仿宋" w:cs="仿宋"/>
          <w:color w:val="000000"/>
          <w:sz w:val="30"/>
          <w:szCs w:val="30"/>
          <w:highlight w:val="none"/>
        </w:rPr>
        <w:t>万元，次级类</w:t>
      </w:r>
      <w:r>
        <w:rPr>
          <w:rFonts w:hint="eastAsia" w:ascii="仿宋" w:hAnsi="仿宋" w:eastAsia="仿宋" w:cs="仿宋"/>
          <w:color w:val="000000"/>
          <w:sz w:val="30"/>
          <w:szCs w:val="30"/>
          <w:highlight w:val="none"/>
          <w:lang w:val="en-US" w:eastAsia="zh-CN"/>
        </w:rPr>
        <w:t>9</w:t>
      </w:r>
      <w:r>
        <w:rPr>
          <w:rFonts w:hint="eastAsia" w:ascii="仿宋" w:hAnsi="仿宋" w:eastAsia="仿宋" w:cs="仿宋"/>
          <w:color w:val="000000"/>
          <w:sz w:val="30"/>
          <w:szCs w:val="30"/>
          <w:highlight w:val="none"/>
        </w:rPr>
        <w:t>万元，可疑类</w:t>
      </w:r>
      <w:r>
        <w:rPr>
          <w:rFonts w:hint="eastAsia" w:ascii="仿宋" w:hAnsi="仿宋" w:eastAsia="仿宋" w:cs="仿宋"/>
          <w:color w:val="000000"/>
          <w:sz w:val="30"/>
          <w:szCs w:val="30"/>
          <w:highlight w:val="none"/>
          <w:lang w:val="en-US" w:eastAsia="zh-CN"/>
        </w:rPr>
        <w:t>753.31</w:t>
      </w:r>
      <w:r>
        <w:rPr>
          <w:rFonts w:hint="eastAsia" w:ascii="仿宋" w:hAnsi="仿宋" w:eastAsia="仿宋" w:cs="仿宋"/>
          <w:color w:val="000000"/>
          <w:sz w:val="30"/>
          <w:szCs w:val="30"/>
          <w:highlight w:val="none"/>
        </w:rPr>
        <w:t>万元。</w:t>
      </w:r>
    </w:p>
    <w:p>
      <w:pPr>
        <w:pStyle w:val="7"/>
        <w:spacing w:before="0" w:beforeAutospacing="0" w:after="0" w:afterAutospacing="0"/>
        <w:ind w:firstLine="600" w:firstLineChars="200"/>
        <w:jc w:val="both"/>
        <w:rPr>
          <w:rFonts w:hint="eastAsia" w:ascii="仿宋" w:hAnsi="仿宋" w:eastAsia="仿宋" w:cs="仿宋"/>
          <w:color w:val="404040"/>
          <w:sz w:val="30"/>
          <w:szCs w:val="30"/>
          <w:highlight w:val="yellow"/>
        </w:rPr>
      </w:pPr>
      <w:r>
        <w:rPr>
          <w:rFonts w:hint="eastAsia" w:ascii="仿宋" w:hAnsi="仿宋" w:eastAsia="仿宋" w:cs="仿宋"/>
          <w:color w:val="404040"/>
          <w:sz w:val="30"/>
          <w:szCs w:val="30"/>
        </w:rPr>
        <w:t>5、信用风险集中度。报告期末，</w:t>
      </w:r>
      <w:r>
        <w:rPr>
          <w:rFonts w:hint="eastAsia" w:ascii="仿宋" w:hAnsi="仿宋" w:eastAsia="仿宋" w:cs="仿宋"/>
          <w:color w:val="404040"/>
          <w:sz w:val="30"/>
          <w:szCs w:val="30"/>
          <w:highlight w:val="none"/>
        </w:rPr>
        <w:t>本行最大单一客户贷款比例为</w:t>
      </w:r>
      <w:r>
        <w:rPr>
          <w:rFonts w:hint="eastAsia" w:ascii="仿宋" w:hAnsi="仿宋" w:eastAsia="仿宋" w:cs="仿宋"/>
          <w:color w:val="404040"/>
          <w:sz w:val="30"/>
          <w:szCs w:val="30"/>
          <w:highlight w:val="none"/>
          <w:lang w:val="en-US" w:eastAsia="zh-CN"/>
        </w:rPr>
        <w:t>4.55</w:t>
      </w:r>
      <w:r>
        <w:rPr>
          <w:rFonts w:hint="eastAsia" w:ascii="仿宋" w:hAnsi="仿宋" w:eastAsia="仿宋" w:cs="仿宋"/>
          <w:color w:val="404040"/>
          <w:sz w:val="30"/>
          <w:szCs w:val="30"/>
          <w:highlight w:val="none"/>
        </w:rPr>
        <w:t>%</w:t>
      </w:r>
      <w:r>
        <w:rPr>
          <w:rFonts w:hint="eastAsia" w:ascii="仿宋" w:hAnsi="仿宋" w:eastAsia="仿宋" w:cs="仿宋"/>
          <w:color w:val="404040"/>
          <w:sz w:val="30"/>
          <w:szCs w:val="30"/>
          <w:highlight w:val="none"/>
          <w:lang w:eastAsia="zh-CN"/>
        </w:rPr>
        <w:t>。</w:t>
      </w:r>
    </w:p>
    <w:p>
      <w:pPr>
        <w:pStyle w:val="7"/>
        <w:spacing w:before="0" w:beforeAutospacing="0" w:after="0" w:afterAutospacing="0"/>
        <w:ind w:firstLine="600" w:firstLineChars="200"/>
        <w:jc w:val="both"/>
        <w:rPr>
          <w:rFonts w:hint="eastAsia" w:ascii="仿宋" w:hAnsi="仿宋" w:eastAsia="仿宋" w:cs="仿宋"/>
          <w:color w:val="404040"/>
          <w:sz w:val="30"/>
          <w:szCs w:val="30"/>
          <w:highlight w:val="none"/>
        </w:rPr>
      </w:pPr>
      <w:r>
        <w:rPr>
          <w:rFonts w:hint="eastAsia" w:ascii="仿宋" w:hAnsi="仿宋" w:eastAsia="仿宋" w:cs="仿宋"/>
          <w:color w:val="404040"/>
          <w:sz w:val="30"/>
          <w:szCs w:val="30"/>
        </w:rPr>
        <w:t>6、逾期贷款的账龄分析。报告期末，</w:t>
      </w:r>
      <w:r>
        <w:rPr>
          <w:rFonts w:hint="eastAsia" w:ascii="仿宋" w:hAnsi="仿宋" w:eastAsia="仿宋" w:cs="仿宋"/>
          <w:color w:val="404040"/>
          <w:sz w:val="30"/>
          <w:szCs w:val="30"/>
          <w:highlight w:val="none"/>
        </w:rPr>
        <w:t>本行逾期贷款共计</w:t>
      </w:r>
      <w:r>
        <w:rPr>
          <w:rFonts w:hint="eastAsia" w:ascii="仿宋" w:hAnsi="仿宋" w:eastAsia="仿宋" w:cs="仿宋"/>
          <w:color w:val="404040"/>
          <w:sz w:val="30"/>
          <w:szCs w:val="30"/>
          <w:highlight w:val="none"/>
          <w:lang w:val="en-US" w:eastAsia="zh-CN"/>
        </w:rPr>
        <w:t>43</w:t>
      </w:r>
      <w:r>
        <w:rPr>
          <w:rFonts w:hint="eastAsia" w:ascii="仿宋" w:hAnsi="仿宋" w:eastAsia="仿宋" w:cs="仿宋"/>
          <w:color w:val="404040"/>
          <w:sz w:val="30"/>
          <w:szCs w:val="30"/>
          <w:highlight w:val="none"/>
        </w:rPr>
        <w:t>户，逾期金额为</w:t>
      </w:r>
      <w:r>
        <w:rPr>
          <w:rFonts w:hint="eastAsia" w:ascii="仿宋" w:hAnsi="仿宋" w:eastAsia="仿宋" w:cs="仿宋"/>
          <w:color w:val="404040"/>
          <w:sz w:val="30"/>
          <w:szCs w:val="30"/>
          <w:highlight w:val="none"/>
          <w:lang w:val="en-US" w:eastAsia="zh-CN"/>
        </w:rPr>
        <w:t>808.74</w:t>
      </w:r>
      <w:r>
        <w:rPr>
          <w:rFonts w:hint="eastAsia" w:ascii="仿宋" w:hAnsi="仿宋" w:eastAsia="仿宋" w:cs="仿宋"/>
          <w:color w:val="404040"/>
          <w:sz w:val="30"/>
          <w:szCs w:val="30"/>
          <w:highlight w:val="none"/>
        </w:rPr>
        <w:t>万元。其中：逾期90天以内的贷款为</w:t>
      </w:r>
      <w:r>
        <w:rPr>
          <w:rFonts w:hint="eastAsia" w:ascii="仿宋" w:hAnsi="仿宋" w:eastAsia="仿宋" w:cs="仿宋"/>
          <w:color w:val="404040"/>
          <w:sz w:val="30"/>
          <w:szCs w:val="30"/>
          <w:highlight w:val="none"/>
          <w:lang w:val="en-US" w:eastAsia="zh-CN"/>
        </w:rPr>
        <w:t>46.43</w:t>
      </w:r>
      <w:r>
        <w:rPr>
          <w:rFonts w:hint="eastAsia" w:ascii="仿宋" w:hAnsi="仿宋" w:eastAsia="仿宋" w:cs="仿宋"/>
          <w:color w:val="404040"/>
          <w:sz w:val="30"/>
          <w:szCs w:val="30"/>
          <w:highlight w:val="none"/>
        </w:rPr>
        <w:t>万元，逾期91天到360天贷款为</w:t>
      </w:r>
      <w:r>
        <w:rPr>
          <w:rFonts w:hint="eastAsia" w:ascii="仿宋" w:hAnsi="仿宋" w:eastAsia="仿宋" w:cs="仿宋"/>
          <w:color w:val="404040"/>
          <w:sz w:val="30"/>
          <w:szCs w:val="30"/>
          <w:highlight w:val="none"/>
          <w:lang w:val="en-US" w:eastAsia="zh-CN"/>
        </w:rPr>
        <w:t>338.47</w:t>
      </w:r>
      <w:r>
        <w:rPr>
          <w:rFonts w:hint="eastAsia" w:ascii="仿宋" w:hAnsi="仿宋" w:eastAsia="仿宋" w:cs="仿宋"/>
          <w:color w:val="404040"/>
          <w:sz w:val="30"/>
          <w:szCs w:val="30"/>
          <w:highlight w:val="none"/>
        </w:rPr>
        <w:t>万元，逾期361天以上贷款为</w:t>
      </w:r>
      <w:r>
        <w:rPr>
          <w:rFonts w:hint="eastAsia" w:ascii="仿宋" w:hAnsi="仿宋" w:eastAsia="仿宋" w:cs="仿宋"/>
          <w:color w:val="404040"/>
          <w:sz w:val="30"/>
          <w:szCs w:val="30"/>
          <w:highlight w:val="none"/>
          <w:lang w:val="en-US" w:eastAsia="zh-CN"/>
        </w:rPr>
        <w:t>423.84</w:t>
      </w:r>
      <w:r>
        <w:rPr>
          <w:rFonts w:hint="eastAsia" w:ascii="仿宋" w:hAnsi="仿宋" w:eastAsia="仿宋" w:cs="仿宋"/>
          <w:color w:val="404040"/>
          <w:sz w:val="30"/>
          <w:szCs w:val="30"/>
          <w:highlight w:val="none"/>
        </w:rPr>
        <w:t>万元。</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404040"/>
          <w:sz w:val="30"/>
          <w:szCs w:val="30"/>
        </w:rPr>
        <w:t>7、贷款重组。报告期内，没有贷款重组情况。</w:t>
      </w:r>
    </w:p>
    <w:p>
      <w:pPr>
        <w:pStyle w:val="3"/>
        <w:spacing w:line="322" w:lineRule="atLeast"/>
        <w:jc w:val="both"/>
        <w:rPr>
          <w:rFonts w:hint="eastAsia" w:ascii="仿宋" w:hAnsi="仿宋" w:eastAsia="仿宋" w:cs="仿宋"/>
          <w:color w:val="404040"/>
          <w:sz w:val="30"/>
          <w:szCs w:val="30"/>
        </w:rPr>
      </w:pPr>
      <w:r>
        <w:rPr>
          <w:rStyle w:val="10"/>
          <w:rFonts w:hint="eastAsia" w:ascii="仿宋" w:hAnsi="仿宋" w:eastAsia="仿宋" w:cs="仿宋"/>
          <w:b/>
          <w:bCs/>
          <w:color w:val="404040"/>
          <w:sz w:val="30"/>
          <w:szCs w:val="30"/>
        </w:rPr>
        <w:t>   </w:t>
      </w:r>
      <w:r>
        <w:rPr>
          <w:rStyle w:val="11"/>
          <w:rFonts w:hint="eastAsia" w:ascii="仿宋" w:hAnsi="仿宋" w:eastAsia="仿宋" w:cs="仿宋"/>
          <w:color w:val="404040"/>
          <w:sz w:val="30"/>
          <w:szCs w:val="30"/>
        </w:rPr>
        <w:t> </w:t>
      </w:r>
      <w:bookmarkStart w:id="27" w:name="_Toc481080005"/>
      <w:r>
        <w:rPr>
          <w:rStyle w:val="10"/>
          <w:rFonts w:hint="eastAsia" w:ascii="仿宋" w:hAnsi="仿宋" w:eastAsia="仿宋" w:cs="仿宋"/>
          <w:b w:val="0"/>
          <w:bCs w:val="0"/>
          <w:color w:val="000000"/>
          <w:sz w:val="30"/>
          <w:szCs w:val="30"/>
        </w:rPr>
        <w:t>二、</w:t>
      </w:r>
      <w:bookmarkEnd w:id="27"/>
      <w:r>
        <w:rPr>
          <w:rStyle w:val="10"/>
          <w:rFonts w:hint="eastAsia" w:ascii="仿宋" w:hAnsi="仿宋" w:eastAsia="仿宋" w:cs="仿宋"/>
          <w:b/>
          <w:bCs/>
          <w:color w:val="000000"/>
          <w:sz w:val="30"/>
          <w:szCs w:val="30"/>
        </w:rPr>
        <w:t>流动性风险状况</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流动性风险指商业银行不能满足存款支取和合理的贷款发放而给银行自身业务所带来的影响</w:t>
      </w:r>
      <w:bookmarkStart w:id="28" w:name="_Toc227401527"/>
      <w:bookmarkEnd w:id="28"/>
      <w:bookmarkStart w:id="29" w:name="_Toc193883048"/>
      <w:r>
        <w:rPr>
          <w:rFonts w:hint="eastAsia" w:ascii="仿宋" w:hAnsi="仿宋" w:eastAsia="仿宋" w:cs="仿宋"/>
          <w:color w:val="000000"/>
          <w:sz w:val="30"/>
          <w:szCs w:val="30"/>
        </w:rPr>
        <w:t>。影响流动性的因素主要包括：“短存长贷”为特征的期限结构匹配不当是造成银行流动性风险的内在根本原因；在以存款准备金率、利率、不良贷款率为冲击因素的动态压力测试中, 存款准备金率对银行流动性冲击最大,其次才是利率的冲击,而不良贷款率因素是伴随上述冲击同时发生的。</w:t>
      </w:r>
      <w:bookmarkEnd w:id="29"/>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（一）董事会、经营管理层对流动性风险的监控能力</w:t>
      </w:r>
    </w:p>
    <w:p>
      <w:pPr>
        <w:pStyle w:val="6"/>
        <w:spacing w:before="0" w:beforeAutospacing="0" w:after="0" w:afterAutospacing="0"/>
        <w:ind w:firstLine="600" w:firstLineChars="200"/>
        <w:jc w:val="both"/>
        <w:rPr>
          <w:rFonts w:hint="eastAsia" w:ascii="仿宋" w:hAnsi="仿宋" w:eastAsia="仿宋" w:cs="仿宋"/>
          <w:color w:val="404040"/>
          <w:sz w:val="30"/>
          <w:szCs w:val="30"/>
        </w:rPr>
      </w:pPr>
      <w:bookmarkStart w:id="30" w:name="_Toc227401528"/>
      <w:bookmarkEnd w:id="30"/>
      <w:bookmarkStart w:id="31" w:name="_Toc322415023"/>
      <w:bookmarkEnd w:id="31"/>
      <w:bookmarkStart w:id="32" w:name="_Toc193883049"/>
      <w:r>
        <w:rPr>
          <w:rFonts w:hint="eastAsia" w:ascii="仿宋" w:hAnsi="仿宋" w:eastAsia="仿宋" w:cs="仿宋"/>
          <w:color w:val="000000"/>
          <w:sz w:val="30"/>
          <w:szCs w:val="30"/>
        </w:rPr>
        <w:t>本行董事会、经营管理层通过加强流动性风险日常监测，重点监测存款来源、贷款期限结构、现金头寸、流动性与备付率等指标的变化情况，及时发现风险，做好流动性风险预警和风险提示，开展压力测试，提示和识别风险，提前采取防范措施。</w:t>
      </w:r>
      <w:bookmarkEnd w:id="32"/>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（二）风险管理的政策和程序</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1、管理政策。本行严格遵守《商业银行法》规定的安全性、流动性、效益性的经营原则，在确保资金安全和正常流动的前提下,实现盈利。</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2、管理程序。本行</w:t>
      </w:r>
      <w:r>
        <w:rPr>
          <w:rFonts w:hint="eastAsia" w:ascii="仿宋" w:hAnsi="仿宋" w:eastAsia="仿宋" w:cs="仿宋"/>
          <w:color w:val="000000"/>
          <w:sz w:val="30"/>
          <w:szCs w:val="30"/>
          <w:lang w:val="en-US" w:eastAsia="zh-CN"/>
        </w:rPr>
        <w:t>计划财务部</w:t>
      </w:r>
      <w:r>
        <w:rPr>
          <w:rFonts w:hint="eastAsia" w:ascii="仿宋" w:hAnsi="仿宋" w:eastAsia="仿宋" w:cs="仿宋"/>
          <w:color w:val="000000"/>
          <w:sz w:val="30"/>
          <w:szCs w:val="30"/>
        </w:rPr>
        <w:t>是本行流动性风险管理的监测部门，负责对流动性进行系统深入的管理和控制。在管理程序上，本行明确流动性管理的目标，包括新增存贷款、存贷比例等，</w:t>
      </w:r>
      <w:r>
        <w:rPr>
          <w:rFonts w:hint="eastAsia" w:ascii="仿宋" w:hAnsi="仿宋" w:eastAsia="仿宋" w:cs="仿宋"/>
          <w:color w:val="000000"/>
          <w:sz w:val="30"/>
          <w:szCs w:val="30"/>
          <w:lang w:val="en-US" w:eastAsia="zh-CN"/>
        </w:rPr>
        <w:t>计划财务部</w:t>
      </w:r>
      <w:r>
        <w:rPr>
          <w:rFonts w:hint="eastAsia" w:ascii="仿宋" w:hAnsi="仿宋" w:eastAsia="仿宋" w:cs="仿宋"/>
          <w:color w:val="000000"/>
          <w:sz w:val="30"/>
          <w:szCs w:val="30"/>
        </w:rPr>
        <w:t>负责跟踪分析流动性需求和流动性供给，避免流动性头寸过量或不足。在日常业务管理中，</w:t>
      </w:r>
      <w:r>
        <w:rPr>
          <w:rFonts w:hint="eastAsia" w:ascii="仿宋" w:hAnsi="仿宋" w:eastAsia="仿宋" w:cs="仿宋"/>
          <w:color w:val="000000"/>
          <w:sz w:val="30"/>
          <w:szCs w:val="30"/>
          <w:lang w:val="en-US" w:eastAsia="zh-CN"/>
        </w:rPr>
        <w:t>计划财务部</w:t>
      </w:r>
      <w:r>
        <w:rPr>
          <w:rFonts w:hint="eastAsia" w:ascii="仿宋" w:hAnsi="仿宋" w:eastAsia="仿宋" w:cs="仿宋"/>
          <w:color w:val="000000"/>
          <w:sz w:val="30"/>
          <w:szCs w:val="30"/>
        </w:rPr>
        <w:t>监测流动性风险,一旦发现风险达到警戒线就及时向领导报告，发出预警信号。同时，建立流动性风险处置预案,提高避险能力,一旦预警,将在限定时间内采取有效地措施进行补救,尽量把风险控制在最小范围内。</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（三）风险计量、检测和管理信息系统</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流动性风险暂无风险计量、检测和管理信息系统。</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（四）内部控制和全面审计情况</w:t>
      </w:r>
    </w:p>
    <w:p>
      <w:pPr>
        <w:pStyle w:val="7"/>
        <w:spacing w:before="0" w:beforeAutospacing="0" w:after="0" w:afterAutospacing="0"/>
        <w:jc w:val="both"/>
        <w:rPr>
          <w:rFonts w:hint="eastAsia" w:ascii="仿宋" w:hAnsi="仿宋" w:eastAsia="仿宋" w:cs="仿宋"/>
          <w:color w:val="404040"/>
          <w:sz w:val="30"/>
          <w:szCs w:val="30"/>
          <w:highlight w:val="yellow"/>
        </w:rPr>
      </w:pPr>
      <w:r>
        <w:rPr>
          <w:rFonts w:hint="eastAsia" w:ascii="仿宋" w:hAnsi="仿宋" w:eastAsia="仿宋" w:cs="仿宋"/>
          <w:color w:val="000000"/>
          <w:sz w:val="30"/>
          <w:szCs w:val="30"/>
        </w:rPr>
        <w:t>本行已制定《流动性风险管理办法》、《流动性风险及重大突发事件应急预案》等制度，逐步健全了应对流动性风险的预警机制，提高防范流动性风险的能力。报告期内，本行大力吸收储蓄存款，确保存款的稳定性。</w:t>
      </w:r>
      <w:bookmarkStart w:id="33" w:name="_Toc193883052"/>
      <w:bookmarkEnd w:id="33"/>
      <w:bookmarkStart w:id="34" w:name="_Toc227401530"/>
      <w:bookmarkEnd w:id="34"/>
      <w:r>
        <w:rPr>
          <w:rFonts w:hint="eastAsia" w:ascii="仿宋" w:hAnsi="仿宋" w:eastAsia="仿宋" w:cs="仿宋"/>
          <w:color w:val="404040"/>
          <w:sz w:val="30"/>
          <w:szCs w:val="30"/>
          <w:highlight w:val="none"/>
        </w:rPr>
        <w:t>201</w:t>
      </w:r>
      <w:r>
        <w:rPr>
          <w:rFonts w:hint="eastAsia" w:ascii="仿宋" w:hAnsi="仿宋" w:eastAsia="仿宋" w:cs="仿宋"/>
          <w:color w:val="404040"/>
          <w:sz w:val="30"/>
          <w:szCs w:val="30"/>
          <w:highlight w:val="none"/>
          <w:lang w:val="en-US" w:eastAsia="zh-CN"/>
        </w:rPr>
        <w:t>9</w:t>
      </w:r>
      <w:r>
        <w:rPr>
          <w:rFonts w:hint="eastAsia" w:ascii="仿宋" w:hAnsi="仿宋" w:eastAsia="仿宋" w:cs="仿宋"/>
          <w:color w:val="404040"/>
          <w:sz w:val="30"/>
          <w:szCs w:val="30"/>
          <w:highlight w:val="none"/>
        </w:rPr>
        <w:t>年末，本行储蓄存款余额占存款余额的</w:t>
      </w:r>
      <w:r>
        <w:rPr>
          <w:rFonts w:hint="eastAsia" w:ascii="仿宋" w:hAnsi="仿宋" w:eastAsia="仿宋" w:cs="仿宋"/>
          <w:color w:val="404040"/>
          <w:sz w:val="30"/>
          <w:szCs w:val="30"/>
          <w:highlight w:val="none"/>
          <w:lang w:val="en-US" w:eastAsia="zh-CN"/>
        </w:rPr>
        <w:t>91.08</w:t>
      </w:r>
      <w:r>
        <w:rPr>
          <w:rFonts w:hint="eastAsia" w:ascii="仿宋" w:hAnsi="仿宋" w:eastAsia="仿宋" w:cs="仿宋"/>
          <w:color w:val="404040"/>
          <w:sz w:val="30"/>
          <w:szCs w:val="30"/>
          <w:highlight w:val="none"/>
        </w:rPr>
        <w:t>%，其中定期储蓄存款占储蓄存款的</w:t>
      </w:r>
      <w:r>
        <w:rPr>
          <w:rFonts w:hint="eastAsia" w:ascii="仿宋" w:hAnsi="仿宋" w:eastAsia="仿宋" w:cs="仿宋"/>
          <w:color w:val="404040"/>
          <w:sz w:val="30"/>
          <w:szCs w:val="30"/>
          <w:highlight w:val="none"/>
          <w:lang w:val="en-US" w:eastAsia="zh-CN"/>
        </w:rPr>
        <w:t>76.53</w:t>
      </w:r>
      <w:r>
        <w:rPr>
          <w:rFonts w:hint="eastAsia" w:ascii="仿宋" w:hAnsi="仿宋" w:eastAsia="仿宋" w:cs="仿宋"/>
          <w:color w:val="404040"/>
          <w:sz w:val="30"/>
          <w:szCs w:val="30"/>
          <w:highlight w:val="none"/>
        </w:rPr>
        <w:t>%。本行的流动性资产为</w:t>
      </w:r>
      <w:r>
        <w:rPr>
          <w:rFonts w:hint="eastAsia" w:ascii="仿宋" w:hAnsi="仿宋" w:eastAsia="仿宋" w:cs="仿宋"/>
          <w:color w:val="404040"/>
          <w:sz w:val="30"/>
          <w:szCs w:val="30"/>
          <w:highlight w:val="none"/>
          <w:lang w:val="en-US" w:eastAsia="zh-CN"/>
        </w:rPr>
        <w:t>8533.12</w:t>
      </w:r>
      <w:r>
        <w:rPr>
          <w:rFonts w:hint="eastAsia" w:ascii="仿宋" w:hAnsi="仿宋" w:eastAsia="仿宋" w:cs="仿宋"/>
          <w:color w:val="404040"/>
          <w:sz w:val="30"/>
          <w:szCs w:val="30"/>
          <w:highlight w:val="none"/>
        </w:rPr>
        <w:t>万元，流动性负债为</w:t>
      </w:r>
      <w:r>
        <w:rPr>
          <w:rFonts w:hint="eastAsia" w:ascii="仿宋" w:hAnsi="仿宋" w:eastAsia="仿宋" w:cs="仿宋"/>
          <w:color w:val="404040"/>
          <w:sz w:val="30"/>
          <w:szCs w:val="30"/>
          <w:highlight w:val="none"/>
          <w:lang w:val="en-US" w:eastAsia="zh-CN"/>
        </w:rPr>
        <w:t>8794.30</w:t>
      </w:r>
      <w:r>
        <w:rPr>
          <w:rFonts w:hint="eastAsia" w:ascii="仿宋" w:hAnsi="仿宋" w:eastAsia="仿宋" w:cs="仿宋"/>
          <w:color w:val="404040"/>
          <w:sz w:val="30"/>
          <w:szCs w:val="30"/>
          <w:highlight w:val="none"/>
        </w:rPr>
        <w:t>万元，资产负债比为8</w:t>
      </w:r>
      <w:r>
        <w:rPr>
          <w:rFonts w:hint="eastAsia" w:ascii="仿宋" w:hAnsi="仿宋" w:eastAsia="仿宋" w:cs="仿宋"/>
          <w:color w:val="404040"/>
          <w:sz w:val="30"/>
          <w:szCs w:val="30"/>
          <w:highlight w:val="none"/>
          <w:lang w:val="en-US" w:eastAsia="zh-CN"/>
        </w:rPr>
        <w:t>3.71</w:t>
      </w:r>
      <w:r>
        <w:rPr>
          <w:rFonts w:hint="eastAsia" w:ascii="仿宋" w:hAnsi="仿宋" w:eastAsia="仿宋" w:cs="仿宋"/>
          <w:color w:val="404040"/>
          <w:sz w:val="30"/>
          <w:szCs w:val="30"/>
          <w:highlight w:val="none"/>
        </w:rPr>
        <w:t>%，存贷比例为</w:t>
      </w:r>
      <w:r>
        <w:rPr>
          <w:rFonts w:hint="eastAsia" w:ascii="仿宋" w:hAnsi="仿宋" w:eastAsia="仿宋" w:cs="仿宋"/>
          <w:color w:val="404040"/>
          <w:sz w:val="30"/>
          <w:szCs w:val="30"/>
          <w:highlight w:val="none"/>
          <w:lang w:val="en-US" w:eastAsia="zh-CN"/>
        </w:rPr>
        <w:t>96.05</w:t>
      </w:r>
      <w:r>
        <w:rPr>
          <w:rFonts w:hint="eastAsia" w:ascii="仿宋" w:hAnsi="仿宋" w:eastAsia="仿宋" w:cs="仿宋"/>
          <w:color w:val="404040"/>
          <w:sz w:val="30"/>
          <w:szCs w:val="30"/>
          <w:highlight w:val="none"/>
        </w:rPr>
        <w:t>%，流动性比例为</w:t>
      </w:r>
      <w:r>
        <w:rPr>
          <w:rFonts w:hint="eastAsia" w:ascii="仿宋" w:hAnsi="仿宋" w:eastAsia="仿宋" w:cs="仿宋"/>
          <w:color w:val="404040"/>
          <w:sz w:val="30"/>
          <w:szCs w:val="30"/>
          <w:highlight w:val="none"/>
          <w:lang w:val="en-US" w:eastAsia="zh-CN"/>
        </w:rPr>
        <w:t>97.03</w:t>
      </w:r>
      <w:r>
        <w:rPr>
          <w:rFonts w:hint="eastAsia" w:ascii="仿宋" w:hAnsi="仿宋" w:eastAsia="仿宋" w:cs="仿宋"/>
          <w:color w:val="404040"/>
          <w:sz w:val="30"/>
          <w:szCs w:val="30"/>
          <w:highlight w:val="none"/>
        </w:rPr>
        <w:t>%，流动性缺口率</w:t>
      </w:r>
      <w:r>
        <w:rPr>
          <w:rFonts w:hint="eastAsia" w:ascii="仿宋" w:hAnsi="仿宋" w:eastAsia="仿宋" w:cs="仿宋"/>
          <w:color w:val="404040"/>
          <w:sz w:val="30"/>
          <w:szCs w:val="30"/>
          <w:highlight w:val="none"/>
          <w:lang w:val="en-US" w:eastAsia="zh-CN"/>
        </w:rPr>
        <w:t>50.85</w:t>
      </w:r>
      <w:r>
        <w:rPr>
          <w:rFonts w:hint="eastAsia" w:ascii="仿宋" w:hAnsi="仿宋" w:eastAsia="仿宋" w:cs="仿宋"/>
          <w:color w:val="404040"/>
          <w:sz w:val="30"/>
          <w:szCs w:val="30"/>
          <w:highlight w:val="none"/>
        </w:rPr>
        <w:t>%，核心负债依存度为6</w:t>
      </w:r>
      <w:r>
        <w:rPr>
          <w:rFonts w:hint="eastAsia" w:ascii="仿宋" w:hAnsi="仿宋" w:eastAsia="仿宋" w:cs="仿宋"/>
          <w:color w:val="404040"/>
          <w:sz w:val="30"/>
          <w:szCs w:val="30"/>
          <w:highlight w:val="none"/>
          <w:lang w:val="en-US" w:eastAsia="zh-CN"/>
        </w:rPr>
        <w:t>5.79</w:t>
      </w:r>
      <w:r>
        <w:rPr>
          <w:rFonts w:hint="eastAsia" w:ascii="仿宋" w:hAnsi="仿宋" w:eastAsia="仿宋" w:cs="仿宋"/>
          <w:color w:val="404040"/>
          <w:sz w:val="30"/>
          <w:szCs w:val="30"/>
          <w:highlight w:val="none"/>
        </w:rPr>
        <w:t>%，流动性风险基本可控。</w:t>
      </w:r>
      <w:r>
        <w:rPr>
          <w:rFonts w:hint="eastAsia" w:ascii="仿宋" w:hAnsi="仿宋" w:eastAsia="仿宋" w:cs="仿宋"/>
          <w:color w:val="000000"/>
          <w:sz w:val="30"/>
          <w:szCs w:val="30"/>
          <w:highlight w:val="none"/>
          <w:lang w:val="en-US" w:eastAsia="zh-CN"/>
        </w:rPr>
        <w:t xml:space="preserve"> </w:t>
      </w:r>
    </w:p>
    <w:p>
      <w:pPr>
        <w:pStyle w:val="6"/>
        <w:spacing w:before="0" w:beforeAutospacing="0" w:after="120" w:afterAutospacing="0"/>
        <w:ind w:left="420"/>
        <w:jc w:val="both"/>
        <w:rPr>
          <w:rFonts w:hint="eastAsia" w:ascii="仿宋" w:hAnsi="仿宋" w:eastAsia="仿宋" w:cs="仿宋"/>
          <w:color w:val="404040"/>
          <w:sz w:val="30"/>
          <w:szCs w:val="30"/>
        </w:rPr>
      </w:pPr>
      <w:r>
        <w:rPr>
          <w:rStyle w:val="10"/>
          <w:rFonts w:hint="eastAsia" w:ascii="仿宋" w:hAnsi="仿宋" w:eastAsia="仿宋" w:cs="仿宋"/>
          <w:color w:val="404040"/>
          <w:sz w:val="30"/>
          <w:szCs w:val="30"/>
        </w:rPr>
        <w:t> </w:t>
      </w:r>
      <w:bookmarkStart w:id="35" w:name="_Toc481080006"/>
      <w:r>
        <w:rPr>
          <w:rStyle w:val="10"/>
          <w:rFonts w:hint="eastAsia" w:ascii="仿宋" w:hAnsi="仿宋" w:eastAsia="仿宋" w:cs="仿宋"/>
          <w:color w:val="000000"/>
          <w:sz w:val="30"/>
          <w:szCs w:val="30"/>
        </w:rPr>
        <w:t>三、</w:t>
      </w:r>
      <w:bookmarkEnd w:id="35"/>
      <w:r>
        <w:rPr>
          <w:rStyle w:val="10"/>
          <w:rFonts w:hint="eastAsia" w:ascii="仿宋" w:hAnsi="仿宋" w:eastAsia="仿宋" w:cs="仿宋"/>
          <w:color w:val="000000"/>
          <w:sz w:val="30"/>
          <w:szCs w:val="30"/>
        </w:rPr>
        <w:t>市场风险状况</w:t>
      </w:r>
    </w:p>
    <w:p>
      <w:pPr>
        <w:pStyle w:val="6"/>
        <w:spacing w:before="0" w:beforeAutospacing="0" w:after="0" w:afterAutospacing="0"/>
        <w:ind w:firstLine="600" w:firstLineChars="200"/>
        <w:jc w:val="both"/>
        <w:rPr>
          <w:rFonts w:hint="eastAsia" w:ascii="仿宋" w:hAnsi="仿宋" w:eastAsia="仿宋" w:cs="仿宋"/>
          <w:color w:val="404040"/>
          <w:sz w:val="30"/>
          <w:szCs w:val="30"/>
        </w:rPr>
      </w:pPr>
      <w:bookmarkStart w:id="36" w:name="_Toc227401531"/>
      <w:bookmarkEnd w:id="36"/>
      <w:bookmarkStart w:id="37" w:name="_Toc193883053"/>
      <w:r>
        <w:rPr>
          <w:rFonts w:hint="eastAsia" w:ascii="仿宋" w:hAnsi="仿宋" w:eastAsia="仿宋" w:cs="仿宋"/>
          <w:color w:val="000000"/>
          <w:sz w:val="30"/>
          <w:szCs w:val="30"/>
        </w:rPr>
        <w:t>市场风险是指因市场价格（利率、汇率、股票价格和商品价格）的不利变动而使本行表内和表外业务发生损失的风险。</w:t>
      </w:r>
      <w:bookmarkEnd w:id="37"/>
      <w:r>
        <w:rPr>
          <w:rFonts w:hint="eastAsia" w:ascii="仿宋" w:hAnsi="仿宋" w:eastAsia="仿宋" w:cs="仿宋"/>
          <w:color w:val="404040"/>
          <w:sz w:val="30"/>
          <w:szCs w:val="30"/>
        </w:rPr>
        <w:t>本行目前的主要的利润来源仍是存贷款利差，因此市场利率波动对本行财务状况和现金流量有直接的影响。为降低利率风险，本行根据利率政策和经营环境的变化，本行实行利率浮动幅度范围内的差异化定价，改进贷款定价机制，加强成本分析和管理。本行进一步加强业务创新，改善收入结构，规避利率风险。</w:t>
      </w:r>
    </w:p>
    <w:p>
      <w:pPr>
        <w:pStyle w:val="6"/>
        <w:spacing w:before="0" w:beforeAutospacing="0" w:after="0" w:afterAutospacing="0"/>
        <w:ind w:firstLine="600" w:firstLineChars="200"/>
        <w:jc w:val="both"/>
        <w:rPr>
          <w:rFonts w:hint="eastAsia" w:ascii="仿宋" w:hAnsi="仿宋" w:eastAsia="仿宋" w:cs="仿宋"/>
          <w:color w:val="404040"/>
          <w:sz w:val="30"/>
          <w:szCs w:val="30"/>
        </w:rPr>
      </w:pPr>
      <w:bookmarkStart w:id="38" w:name="_Toc322415025"/>
      <w:r>
        <w:rPr>
          <w:rFonts w:hint="eastAsia" w:ascii="仿宋" w:hAnsi="仿宋" w:eastAsia="仿宋" w:cs="仿宋"/>
          <w:color w:val="000000"/>
          <w:sz w:val="30"/>
          <w:szCs w:val="30"/>
        </w:rPr>
        <w:t>（一）董事会、经营管理层对市场风险的监控能力</w:t>
      </w:r>
      <w:bookmarkEnd w:id="38"/>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面临的市场风险主要是利率风险。为加强对利率风险的防范，本行董事会和经营管理层坚持流动性原则，以减少因贷款周期过长产生的重新定价风险；同时本行按照风险收益相匹配的原则，综合区域内资金供求状况、竞争状况及自身风险抵偿情况等因素，实行利率浮动幅度范围内的差异化定价。</w:t>
      </w:r>
    </w:p>
    <w:p>
      <w:pPr>
        <w:pStyle w:val="6"/>
        <w:spacing w:before="0" w:beforeAutospacing="0" w:after="0" w:afterAutospacing="0"/>
        <w:ind w:firstLine="600" w:firstLineChars="200"/>
        <w:jc w:val="both"/>
        <w:rPr>
          <w:rFonts w:hint="eastAsia" w:ascii="仿宋" w:hAnsi="仿宋" w:eastAsia="仿宋" w:cs="仿宋"/>
          <w:color w:val="404040"/>
          <w:sz w:val="30"/>
          <w:szCs w:val="30"/>
        </w:rPr>
      </w:pPr>
      <w:bookmarkStart w:id="39" w:name="_Toc227401532"/>
      <w:bookmarkEnd w:id="39"/>
      <w:bookmarkStart w:id="40" w:name="_Toc322415026"/>
      <w:bookmarkEnd w:id="40"/>
      <w:bookmarkStart w:id="41" w:name="_Toc193883054"/>
      <w:r>
        <w:rPr>
          <w:rFonts w:hint="eastAsia" w:ascii="仿宋" w:hAnsi="仿宋" w:eastAsia="仿宋" w:cs="仿宋"/>
          <w:color w:val="000000"/>
          <w:sz w:val="30"/>
          <w:szCs w:val="30"/>
        </w:rPr>
        <w:t>（二）风险管理的政策和程序</w:t>
      </w:r>
      <w:bookmarkEnd w:id="41"/>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1、管理政策。利率风险是整个金融市场中最重要的风险。本行在贷款利率定价时坚持收益覆盖风险的原则。</w:t>
      </w:r>
    </w:p>
    <w:p>
      <w:pPr>
        <w:pStyle w:val="7"/>
        <w:spacing w:before="0" w:beforeAutospacing="0" w:after="0" w:afterAutospacing="0"/>
        <w:ind w:firstLine="600" w:firstLineChars="200"/>
        <w:rPr>
          <w:rFonts w:hint="eastAsia" w:ascii="仿宋" w:hAnsi="仿宋" w:eastAsia="仿宋" w:cs="仿宋"/>
          <w:color w:val="404040"/>
          <w:sz w:val="30"/>
          <w:szCs w:val="30"/>
        </w:rPr>
      </w:pPr>
      <w:r>
        <w:rPr>
          <w:rFonts w:hint="eastAsia" w:ascii="仿宋" w:hAnsi="仿宋" w:eastAsia="仿宋" w:cs="仿宋"/>
          <w:color w:val="000000"/>
          <w:sz w:val="30"/>
          <w:szCs w:val="30"/>
        </w:rPr>
        <w:t>2、管理程序。董事会负责审批利率定价战略，确定本行可以承受的市场风险水平，督促高级管理层采取必要的措施识别、计量、监测和控制利率风险。本行利率定价</w:t>
      </w:r>
      <w:r>
        <w:rPr>
          <w:rFonts w:hint="eastAsia" w:ascii="仿宋" w:hAnsi="仿宋" w:eastAsia="仿宋" w:cs="仿宋"/>
          <w:color w:val="000000"/>
          <w:sz w:val="30"/>
          <w:szCs w:val="30"/>
          <w:lang w:val="en-US" w:eastAsia="zh-CN"/>
        </w:rPr>
        <w:t>相关人员</w:t>
      </w:r>
      <w:r>
        <w:rPr>
          <w:rFonts w:hint="eastAsia" w:ascii="仿宋" w:hAnsi="仿宋" w:eastAsia="仿宋" w:cs="仿宋"/>
          <w:color w:val="000000"/>
          <w:sz w:val="30"/>
          <w:szCs w:val="30"/>
        </w:rPr>
        <w:t>负责制定、定期审查和监督执行利率风险管理的政策、程序以及具体的操作规程，建立和完善科学的贷款利率定价机制，规范本行人民币贷款利率管理，及时了解市场风险水平及其管理状况。高级管理层负责制定、定期审查和监督执行市场风险管理的政策、程序以及具体的操作规程，及时了解市场风险水平及其管理状况，并有效监督主管业务部门识别、计量、监测和控制各项业务所承担的各类市场风险。</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（三）风险计量、检测和管理信息系统。</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市场风险暂无风险计量、检测和管理信息系统。</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（四）内部控制和全面审计情况。</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404040"/>
          <w:sz w:val="30"/>
          <w:szCs w:val="30"/>
        </w:rPr>
        <w:t>1、内控制度建设情况</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本行已制定《</w:t>
      </w:r>
      <w:r>
        <w:rPr>
          <w:rFonts w:hint="eastAsia" w:ascii="仿宋" w:hAnsi="仿宋" w:eastAsia="仿宋" w:cs="仿宋"/>
          <w:color w:val="000000"/>
          <w:sz w:val="30"/>
          <w:szCs w:val="30"/>
          <w:lang w:val="en-US" w:eastAsia="zh-CN"/>
        </w:rPr>
        <w:t>临猗新田</w:t>
      </w:r>
      <w:r>
        <w:rPr>
          <w:rFonts w:hint="eastAsia" w:ascii="仿宋" w:hAnsi="仿宋" w:eastAsia="仿宋" w:cs="仿宋"/>
          <w:color w:val="000000"/>
          <w:sz w:val="30"/>
          <w:szCs w:val="30"/>
        </w:rPr>
        <w:t>村镇银行存款利率定价管理办法》、《</w:t>
      </w:r>
      <w:r>
        <w:rPr>
          <w:rFonts w:hint="eastAsia" w:ascii="仿宋" w:hAnsi="仿宋" w:eastAsia="仿宋" w:cs="仿宋"/>
          <w:color w:val="000000"/>
          <w:sz w:val="30"/>
          <w:szCs w:val="30"/>
          <w:lang w:val="en-US" w:eastAsia="zh-CN"/>
        </w:rPr>
        <w:t>临猗新田</w:t>
      </w:r>
      <w:r>
        <w:rPr>
          <w:rFonts w:hint="eastAsia" w:ascii="仿宋" w:hAnsi="仿宋" w:eastAsia="仿宋" w:cs="仿宋"/>
          <w:color w:val="000000"/>
          <w:sz w:val="30"/>
          <w:szCs w:val="30"/>
        </w:rPr>
        <w:t>村镇银行贷款利率定价管理办法》，初步建立了市场风险管理方面的基本内控规范框架制度。</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404040"/>
          <w:sz w:val="30"/>
          <w:szCs w:val="30"/>
        </w:rPr>
        <w:t>2、全面审计情况</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404040"/>
          <w:sz w:val="30"/>
          <w:szCs w:val="30"/>
        </w:rPr>
        <w:t>一是本行服务价格行为严格遵守国家法律、法规、规章和有关监管规定，遵循公开、公平、诚实、信用的原则，遵循合规收费、以质定价、公开透明、减费让利的原则，遵循“七不准”和“四公开”的原则，接受社会监督，使银行服务持续发展与承担社会责任相统一。同时，本行能及时准确向人民银行报送利率监测报备信息，积极配合人民银行做好各项有关利率政策的调研工作，未出现错报、漏报的现象。</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404040"/>
          <w:sz w:val="30"/>
          <w:szCs w:val="30"/>
        </w:rPr>
        <w:t>二是本行的存款挂牌利率和实际执行利率均不高于市场利率定价自律机制规定的存款利率浮动区间上限，存款利率浮动幅度在基准利率1.5倍以内。</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404040"/>
          <w:sz w:val="30"/>
          <w:szCs w:val="30"/>
        </w:rPr>
        <w:t>三是本行根据不同客户对象、贷款品种、贷款方式、贷款期限、风险种类等，在进行成本、风险、收益等精细化核算的基础上实行差别化定价，在本行利率浮动的范围内进行贷款定价。政策性贷款业务，如国家助学贷款等，按照人民银行有关规定的利率执行。消费性贷款按照人民银行有关规定的利率执行。报告期内，本行利率风险敏感度为零，符合监管要求，累计外汇敞口头寸比例为零，市场风险基本可控。</w:t>
      </w:r>
    </w:p>
    <w:p>
      <w:pPr>
        <w:pStyle w:val="3"/>
        <w:spacing w:line="322" w:lineRule="atLeast"/>
        <w:jc w:val="both"/>
        <w:rPr>
          <w:rFonts w:hint="eastAsia" w:ascii="仿宋" w:hAnsi="仿宋" w:eastAsia="仿宋" w:cs="仿宋"/>
          <w:color w:val="404040"/>
          <w:sz w:val="30"/>
          <w:szCs w:val="30"/>
        </w:rPr>
      </w:pPr>
      <w:bookmarkStart w:id="42" w:name="_Toc227401535"/>
      <w:bookmarkEnd w:id="42"/>
      <w:bookmarkStart w:id="43" w:name="_Toc193883057"/>
      <w:r>
        <w:rPr>
          <w:rStyle w:val="10"/>
          <w:rFonts w:hint="eastAsia" w:ascii="仿宋" w:hAnsi="仿宋" w:eastAsia="仿宋" w:cs="仿宋"/>
          <w:b/>
          <w:bCs/>
          <w:color w:val="404040"/>
          <w:sz w:val="30"/>
          <w:szCs w:val="30"/>
        </w:rPr>
        <w:t>   </w:t>
      </w:r>
      <w:r>
        <w:rPr>
          <w:rStyle w:val="11"/>
          <w:rFonts w:hint="eastAsia" w:ascii="仿宋" w:hAnsi="仿宋" w:eastAsia="仿宋" w:cs="仿宋"/>
          <w:color w:val="404040"/>
          <w:sz w:val="30"/>
          <w:szCs w:val="30"/>
        </w:rPr>
        <w:t> </w:t>
      </w:r>
      <w:bookmarkEnd w:id="43"/>
      <w:bookmarkStart w:id="44" w:name="_Toc481080007"/>
      <w:r>
        <w:rPr>
          <w:rStyle w:val="10"/>
          <w:rFonts w:hint="eastAsia" w:ascii="仿宋" w:hAnsi="仿宋" w:eastAsia="仿宋" w:cs="仿宋"/>
          <w:b/>
          <w:bCs/>
          <w:color w:val="000000"/>
          <w:sz w:val="30"/>
          <w:szCs w:val="30"/>
        </w:rPr>
        <w:t>四、操作风险状况</w:t>
      </w:r>
      <w:bookmarkEnd w:id="44"/>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操作风险是指由于控制、系统及运营过程的错误或疏忽而可能引致潜在损失的风险。</w:t>
      </w:r>
      <w:r>
        <w:rPr>
          <w:rFonts w:hint="eastAsia" w:ascii="仿宋" w:hAnsi="仿宋" w:eastAsia="仿宋" w:cs="仿宋"/>
          <w:color w:val="404040"/>
          <w:sz w:val="30"/>
          <w:szCs w:val="30"/>
        </w:rPr>
        <w:t>本行对各项业务操作制定了控制及风险管理措施，包括制度、环境、设施等方面。但任何的控制都可能因自身及外界环境的变化、当事者对某项事务的认知程度不够、制度执行不严格等原因，导致失去或减小效力，形成操作风险。</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404040"/>
          <w:sz w:val="30"/>
          <w:szCs w:val="30"/>
        </w:rPr>
        <w:t>本行坚持一级法人管理体制，已建立了股东会、董事会、监事会和高级管理层之间的权力制衡与利益制衡机制、科学决策机制与激励约束机制，形成了较为完善的经营决策、人力资源管理、风险控制、内部审计、信息披露和激励约束等运行管理体系。</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404040"/>
          <w:sz w:val="30"/>
          <w:szCs w:val="30"/>
        </w:rPr>
        <w:t>本行经营层着力完善内控体系，提高内审监督的力度，开展内部控制评估，及时、有效揭示风险隐患，实现依法合规经营。</w:t>
      </w:r>
    </w:p>
    <w:p>
      <w:pPr>
        <w:pStyle w:val="6"/>
        <w:spacing w:before="0" w:beforeAutospacing="0" w:after="0" w:afterAutospacing="0"/>
        <w:ind w:firstLine="300" w:firstLineChars="100"/>
        <w:jc w:val="both"/>
        <w:rPr>
          <w:rFonts w:hint="eastAsia" w:ascii="仿宋" w:hAnsi="仿宋" w:eastAsia="仿宋" w:cs="仿宋"/>
          <w:color w:val="404040"/>
          <w:sz w:val="30"/>
          <w:szCs w:val="30"/>
        </w:rPr>
      </w:pPr>
      <w:r>
        <w:rPr>
          <w:rFonts w:hint="eastAsia" w:ascii="仿宋" w:hAnsi="仿宋" w:eastAsia="仿宋" w:cs="仿宋"/>
          <w:color w:val="000000"/>
          <w:sz w:val="30"/>
          <w:szCs w:val="30"/>
        </w:rPr>
        <w:t>（一）董事会、经营管理层对风险的监控能力</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为防范操作风险，本行董事会、经营管理层贯彻落实岗位轮换、亲属回避及员工家访、员工行为排查等制度，从源头上控制操作风险的发生。</w:t>
      </w:r>
    </w:p>
    <w:p>
      <w:pPr>
        <w:pStyle w:val="6"/>
        <w:spacing w:before="0" w:beforeAutospacing="0" w:after="0" w:afterAutospacing="0"/>
        <w:ind w:firstLine="300" w:firstLineChars="100"/>
        <w:jc w:val="both"/>
        <w:rPr>
          <w:rFonts w:hint="eastAsia" w:ascii="仿宋" w:hAnsi="仿宋" w:eastAsia="仿宋" w:cs="仿宋"/>
          <w:color w:val="404040"/>
          <w:sz w:val="30"/>
          <w:szCs w:val="30"/>
          <w:highlight w:val="none"/>
        </w:rPr>
      </w:pPr>
      <w:r>
        <w:rPr>
          <w:rFonts w:hint="eastAsia" w:ascii="仿宋" w:hAnsi="仿宋" w:eastAsia="仿宋" w:cs="仿宋"/>
          <w:color w:val="000000"/>
          <w:sz w:val="30"/>
          <w:szCs w:val="30"/>
        </w:rPr>
        <w:t>（二）风险管理的政策和程序</w:t>
      </w:r>
    </w:p>
    <w:p>
      <w:pPr>
        <w:pStyle w:val="6"/>
        <w:spacing w:before="0" w:beforeAutospacing="0" w:after="0" w:afterAutospacing="0"/>
        <w:ind w:firstLine="600" w:firstLineChars="200"/>
        <w:jc w:val="both"/>
        <w:rPr>
          <w:rFonts w:hint="eastAsia" w:ascii="仿宋" w:hAnsi="仿宋" w:eastAsia="仿宋" w:cs="仿宋"/>
          <w:color w:val="404040"/>
          <w:sz w:val="30"/>
          <w:szCs w:val="30"/>
          <w:highlight w:val="none"/>
        </w:rPr>
      </w:pPr>
      <w:r>
        <w:rPr>
          <w:rFonts w:hint="eastAsia" w:ascii="仿宋" w:hAnsi="仿宋" w:eastAsia="仿宋" w:cs="仿宋"/>
          <w:color w:val="000000"/>
          <w:sz w:val="30"/>
          <w:szCs w:val="30"/>
          <w:highlight w:val="none"/>
        </w:rPr>
        <w:t>1、管理政策。本行坚持依法合规经营，制定了《</w:t>
      </w:r>
      <w:r>
        <w:rPr>
          <w:rFonts w:hint="eastAsia" w:ascii="仿宋" w:hAnsi="仿宋" w:eastAsia="仿宋" w:cs="仿宋"/>
          <w:color w:val="000000"/>
          <w:sz w:val="30"/>
          <w:szCs w:val="30"/>
          <w:highlight w:val="none"/>
          <w:lang w:val="en-US" w:eastAsia="zh-CN"/>
        </w:rPr>
        <w:t>临猗新田</w:t>
      </w:r>
      <w:r>
        <w:rPr>
          <w:rFonts w:hint="eastAsia" w:ascii="仿宋" w:hAnsi="仿宋" w:eastAsia="仿宋" w:cs="仿宋"/>
          <w:color w:val="000000"/>
          <w:sz w:val="30"/>
          <w:szCs w:val="30"/>
          <w:highlight w:val="none"/>
        </w:rPr>
        <w:t>村镇银行</w:t>
      </w:r>
      <w:r>
        <w:rPr>
          <w:rFonts w:hint="eastAsia" w:ascii="仿宋" w:hAnsi="仿宋" w:eastAsia="仿宋" w:cs="仿宋"/>
          <w:color w:val="000000"/>
          <w:sz w:val="30"/>
          <w:szCs w:val="30"/>
          <w:highlight w:val="none"/>
          <w:lang w:val="en-US" w:eastAsia="zh-CN"/>
        </w:rPr>
        <w:t>大额</w:t>
      </w:r>
      <w:r>
        <w:rPr>
          <w:rFonts w:hint="eastAsia" w:ascii="仿宋" w:hAnsi="仿宋" w:eastAsia="仿宋" w:cs="仿宋"/>
          <w:color w:val="000000"/>
          <w:sz w:val="30"/>
          <w:szCs w:val="30"/>
          <w:highlight w:val="none"/>
        </w:rPr>
        <w:t>风险</w:t>
      </w:r>
      <w:r>
        <w:rPr>
          <w:rFonts w:hint="eastAsia" w:ascii="仿宋" w:hAnsi="仿宋" w:eastAsia="仿宋" w:cs="仿宋"/>
          <w:color w:val="000000"/>
          <w:sz w:val="30"/>
          <w:szCs w:val="30"/>
          <w:highlight w:val="none"/>
          <w:lang w:val="en-US" w:eastAsia="zh-CN"/>
        </w:rPr>
        <w:t>暴露</w:t>
      </w:r>
      <w:r>
        <w:rPr>
          <w:rFonts w:hint="eastAsia" w:ascii="仿宋" w:hAnsi="仿宋" w:eastAsia="仿宋" w:cs="仿宋"/>
          <w:color w:val="000000"/>
          <w:sz w:val="30"/>
          <w:szCs w:val="30"/>
          <w:highlight w:val="none"/>
        </w:rPr>
        <w:t>管理办法》，坚持在风险可控的前提下开展各项业务。</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highlight w:val="none"/>
        </w:rPr>
        <w:t>2、管理程序。董事会负责确定本行可以承</w:t>
      </w:r>
      <w:r>
        <w:rPr>
          <w:rFonts w:hint="eastAsia" w:ascii="仿宋" w:hAnsi="仿宋" w:eastAsia="仿宋" w:cs="仿宋"/>
          <w:color w:val="000000"/>
          <w:sz w:val="30"/>
          <w:szCs w:val="30"/>
        </w:rPr>
        <w:t>受的操作风险水平，督促高级管理层采取必要的措施识别、计量、监测和控制操作风险。本行经营管理层负责制定、定期审查和监督执行操作风险管理的具体的操作规程，及时了解操作风险水平及其管理状况。</w:t>
      </w:r>
    </w:p>
    <w:p>
      <w:pPr>
        <w:pStyle w:val="6"/>
        <w:spacing w:before="0" w:beforeAutospacing="0" w:after="0" w:afterAutospacing="0"/>
        <w:ind w:firstLine="300" w:firstLineChars="100"/>
        <w:jc w:val="both"/>
        <w:rPr>
          <w:rFonts w:hint="eastAsia" w:ascii="仿宋" w:hAnsi="仿宋" w:eastAsia="仿宋" w:cs="仿宋"/>
          <w:color w:val="404040"/>
          <w:sz w:val="30"/>
          <w:szCs w:val="30"/>
        </w:rPr>
      </w:pPr>
      <w:r>
        <w:rPr>
          <w:rFonts w:hint="eastAsia" w:ascii="仿宋" w:hAnsi="仿宋" w:eastAsia="仿宋" w:cs="仿宋"/>
          <w:color w:val="000000"/>
          <w:sz w:val="30"/>
          <w:szCs w:val="30"/>
        </w:rPr>
        <w:t>（三）风险计量、检测和管理信息系统。</w:t>
      </w:r>
    </w:p>
    <w:p>
      <w:pPr>
        <w:pStyle w:val="6"/>
        <w:spacing w:before="0" w:beforeAutospacing="0" w:after="0" w:afterAutospacing="0"/>
        <w:ind w:firstLine="300" w:firstLineChars="10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本行暂无操作风险计量、检测和管理信息系统。</w:t>
      </w:r>
    </w:p>
    <w:p>
      <w:pPr>
        <w:pStyle w:val="6"/>
        <w:spacing w:before="0" w:beforeAutospacing="0" w:after="0" w:afterAutospacing="0"/>
        <w:ind w:firstLine="300" w:firstLineChars="100"/>
        <w:jc w:val="both"/>
        <w:rPr>
          <w:rFonts w:hint="eastAsia" w:ascii="仿宋" w:hAnsi="仿宋" w:eastAsia="仿宋" w:cs="仿宋"/>
          <w:color w:val="404040"/>
          <w:sz w:val="30"/>
          <w:szCs w:val="30"/>
        </w:rPr>
      </w:pPr>
      <w:r>
        <w:rPr>
          <w:rFonts w:hint="eastAsia" w:ascii="仿宋" w:hAnsi="仿宋" w:eastAsia="仿宋" w:cs="仿宋"/>
          <w:color w:val="000000"/>
          <w:sz w:val="30"/>
          <w:szCs w:val="30"/>
        </w:rPr>
        <w:t>（四）内部控制和全面审计情况</w:t>
      </w:r>
    </w:p>
    <w:p>
      <w:pPr>
        <w:pStyle w:val="6"/>
        <w:spacing w:before="0" w:beforeAutospacing="0" w:after="0" w:afterAutospacing="0"/>
        <w:ind w:firstLine="600" w:firstLineChars="200"/>
        <w:jc w:val="both"/>
        <w:rPr>
          <w:rFonts w:hint="eastAsia" w:ascii="仿宋" w:hAnsi="仿宋" w:eastAsia="仿宋" w:cs="仿宋"/>
          <w:color w:val="404040"/>
          <w:sz w:val="30"/>
          <w:szCs w:val="30"/>
        </w:rPr>
      </w:pPr>
      <w:bookmarkStart w:id="45" w:name="_Toc481080008"/>
      <w:r>
        <w:rPr>
          <w:rFonts w:hint="eastAsia" w:ascii="仿宋" w:hAnsi="仿宋" w:eastAsia="仿宋" w:cs="仿宋"/>
          <w:color w:val="000000"/>
          <w:sz w:val="30"/>
          <w:szCs w:val="30"/>
        </w:rPr>
        <w:t>本行建立了全面、系统、适时的内控制度体系，涵盖所有业务范围，包括三会一层、行政管理、会计核算、财务管理、统计工作、信贷管理、风险控制、安全保卫、科技管理、反洗钱和同业业务等，内部控制政策与措施覆盖各主要风险点，内部控制制度完整有效。201</w:t>
      </w:r>
      <w:r>
        <w:rPr>
          <w:rFonts w:hint="eastAsia" w:ascii="仿宋" w:hAnsi="仿宋" w:eastAsia="仿宋" w:cs="仿宋"/>
          <w:color w:val="000000"/>
          <w:sz w:val="30"/>
          <w:szCs w:val="30"/>
          <w:lang w:val="en-US" w:eastAsia="zh-CN"/>
        </w:rPr>
        <w:t>9</w:t>
      </w:r>
      <w:r>
        <w:rPr>
          <w:rFonts w:hint="eastAsia" w:ascii="仿宋" w:hAnsi="仿宋" w:eastAsia="仿宋" w:cs="仿宋"/>
          <w:color w:val="000000"/>
          <w:sz w:val="30"/>
          <w:szCs w:val="30"/>
        </w:rPr>
        <w:t>年，本行持续加强内控制度体系建设，及时修改和完善各项内部控制制度，不断提升制度合理性，使各项制度符合法律法规和监管规定。</w:t>
      </w:r>
      <w:bookmarkEnd w:id="45"/>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报告期内，本行深入开展了常规稽核检查和案件专项治理活动，其中开展稽核检查</w:t>
      </w:r>
      <w:r>
        <w:rPr>
          <w:rFonts w:hint="eastAsia" w:ascii="仿宋" w:hAnsi="仿宋" w:eastAsia="仿宋" w:cs="仿宋"/>
          <w:color w:val="000000"/>
          <w:sz w:val="30"/>
          <w:szCs w:val="30"/>
          <w:lang w:val="en-US" w:eastAsia="zh-CN"/>
        </w:rPr>
        <w:t>7</w:t>
      </w:r>
      <w:r>
        <w:rPr>
          <w:rFonts w:hint="eastAsia" w:ascii="仿宋" w:hAnsi="仿宋" w:eastAsia="仿宋" w:cs="仿宋"/>
          <w:color w:val="000000"/>
          <w:sz w:val="30"/>
          <w:szCs w:val="30"/>
        </w:rPr>
        <w:t>次，检查内容涵盖柜面业务、信贷业务、财务管理和案件防控等；开展对内专项检查</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次，包括对</w:t>
      </w:r>
      <w:r>
        <w:rPr>
          <w:rFonts w:hint="eastAsia" w:ascii="仿宋" w:hAnsi="仿宋" w:eastAsia="仿宋" w:cs="仿宋"/>
          <w:color w:val="000000"/>
          <w:sz w:val="30"/>
          <w:szCs w:val="30"/>
          <w:lang w:val="en-US" w:eastAsia="zh-CN"/>
        </w:rPr>
        <w:t>现金业务</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印章管理</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贷款五级分类</w:t>
      </w:r>
      <w:r>
        <w:rPr>
          <w:rFonts w:hint="eastAsia" w:ascii="仿宋" w:hAnsi="仿宋" w:eastAsia="仿宋" w:cs="仿宋"/>
          <w:color w:val="000000"/>
          <w:sz w:val="30"/>
          <w:szCs w:val="30"/>
        </w:rPr>
        <w:t>专项检查等；</w:t>
      </w:r>
      <w:r>
        <w:rPr>
          <w:rFonts w:hint="eastAsia" w:ascii="仿宋" w:hAnsi="仿宋" w:eastAsia="仿宋" w:cs="仿宋"/>
          <w:color w:val="000000"/>
          <w:sz w:val="30"/>
          <w:szCs w:val="30"/>
          <w:lang w:val="en-US" w:eastAsia="zh-CN"/>
        </w:rPr>
        <w:t>同时开展安全检查12次，并</w:t>
      </w:r>
      <w:r>
        <w:rPr>
          <w:rFonts w:hint="eastAsia" w:ascii="仿宋" w:hAnsi="仿宋" w:eastAsia="仿宋" w:cs="仿宋"/>
          <w:color w:val="000000"/>
          <w:sz w:val="30"/>
          <w:szCs w:val="30"/>
        </w:rPr>
        <w:t>根据监管要求开展自查7次，包括员工行为管理专项排查、整治市场乱象专项排查、案件风险全面排查、股东股权乱象专项治理自查等，对内控制度执行情况进行全面检查，揭示存在的风险，堵塞漏洞。</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、信贷管理中的授权授信制度执行偏差。由于员工掌握信息不全、专业能力限制，导致操作程序不够严密，对客户情况的变化掌握不够，导致贷款事后控制有待加强，如未按要求开展贷后管理工作。</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、柜面会计业务制度执行不到位。柜面业务人员存在对各项规章制度认识不足、贯彻不力或操作失误等原因导致业务差错出现，如协助有权机关查询业务。</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、员工行为管理的深度不足，员工异常行为排查的手段、方式及有效性有待进一步加强。</w:t>
      </w:r>
    </w:p>
    <w:p>
      <w:pPr>
        <w:pStyle w:val="3"/>
        <w:spacing w:line="322" w:lineRule="atLeast"/>
        <w:ind w:firstLine="602" w:firstLineChars="200"/>
        <w:jc w:val="both"/>
        <w:rPr>
          <w:rFonts w:hint="eastAsia" w:ascii="仿宋" w:hAnsi="仿宋" w:eastAsia="仿宋" w:cs="仿宋"/>
          <w:color w:val="404040"/>
          <w:sz w:val="30"/>
          <w:szCs w:val="30"/>
        </w:rPr>
      </w:pPr>
      <w:r>
        <w:rPr>
          <w:rStyle w:val="10"/>
          <w:rFonts w:hint="eastAsia" w:ascii="仿宋" w:hAnsi="仿宋" w:eastAsia="仿宋" w:cs="仿宋"/>
          <w:b/>
          <w:bCs/>
          <w:color w:val="000000"/>
          <w:sz w:val="30"/>
          <w:szCs w:val="30"/>
        </w:rPr>
        <w:t>五、声誉风险状况</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声誉风险是指由本行经营、管理及其他行为或外部事件导致利益相关方对本行负面评价的风险。</w:t>
      </w:r>
    </w:p>
    <w:p>
      <w:pPr>
        <w:pStyle w:val="6"/>
        <w:spacing w:before="0" w:beforeAutospacing="0" w:after="0" w:afterAutospacing="0"/>
        <w:ind w:firstLine="300" w:firstLineChars="100"/>
        <w:jc w:val="both"/>
        <w:rPr>
          <w:rFonts w:hint="eastAsia" w:ascii="仿宋" w:hAnsi="仿宋" w:eastAsia="仿宋" w:cs="仿宋"/>
          <w:color w:val="404040"/>
          <w:sz w:val="30"/>
          <w:szCs w:val="30"/>
        </w:rPr>
      </w:pPr>
      <w:r>
        <w:rPr>
          <w:rFonts w:hint="eastAsia" w:ascii="仿宋" w:hAnsi="仿宋" w:eastAsia="仿宋" w:cs="仿宋"/>
          <w:color w:val="000000"/>
          <w:sz w:val="30"/>
          <w:szCs w:val="30"/>
        </w:rPr>
        <w:t>（一）董事会、经营管理层对风险的监控能力</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董事会和经营管理层坚决贯彻落实有关法律法规和各项规章制度，落实责任，强化措施，通过监测、识别、评估、预警、报告及处置等程序，实现舆情信息管理，提高了声誉风险预警能力及化解能力。</w:t>
      </w:r>
    </w:p>
    <w:p>
      <w:pPr>
        <w:pStyle w:val="6"/>
        <w:spacing w:before="0" w:beforeAutospacing="0" w:after="0" w:afterAutospacing="0"/>
        <w:ind w:firstLine="300" w:firstLineChars="100"/>
        <w:jc w:val="both"/>
        <w:rPr>
          <w:rFonts w:hint="eastAsia" w:ascii="仿宋" w:hAnsi="仿宋" w:eastAsia="仿宋" w:cs="仿宋"/>
          <w:color w:val="404040"/>
          <w:sz w:val="30"/>
          <w:szCs w:val="30"/>
        </w:rPr>
      </w:pPr>
      <w:r>
        <w:rPr>
          <w:rFonts w:hint="eastAsia" w:ascii="仿宋" w:hAnsi="仿宋" w:eastAsia="仿宋" w:cs="仿宋"/>
          <w:color w:val="000000"/>
          <w:sz w:val="30"/>
          <w:szCs w:val="30"/>
        </w:rPr>
        <w:t>（二）风险管理的政策和程序</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1、管理政策。本行建立健全了声誉风险管理体系，制定了《</w:t>
      </w:r>
      <w:r>
        <w:rPr>
          <w:rFonts w:hint="eastAsia" w:ascii="仿宋" w:hAnsi="仿宋" w:eastAsia="仿宋" w:cs="仿宋"/>
          <w:color w:val="000000"/>
          <w:sz w:val="30"/>
          <w:szCs w:val="30"/>
          <w:lang w:val="en-US" w:eastAsia="zh-CN"/>
        </w:rPr>
        <w:t>临猗新田</w:t>
      </w:r>
      <w:r>
        <w:rPr>
          <w:rFonts w:hint="eastAsia" w:ascii="仿宋" w:hAnsi="仿宋" w:eastAsia="仿宋" w:cs="仿宋"/>
          <w:color w:val="000000"/>
          <w:sz w:val="30"/>
          <w:szCs w:val="30"/>
        </w:rPr>
        <w:t>村镇银行声誉风险管理办法》，通过日常声誉风险管理和对声誉事件的妥善处置，实现对声誉风险的有效管控。</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2、管理程序。本行董事会承担全行声誉风险管理的最终责任，经营管理层负责领导全行的声誉风险管理工作，总行综合办公室是全行声誉风险的牵头管理部门，总行各部门对本部门业务职责范围内的声誉风险管理负有直接责任，各</w:t>
      </w:r>
      <w:r>
        <w:rPr>
          <w:rFonts w:hint="eastAsia" w:ascii="仿宋" w:hAnsi="仿宋" w:eastAsia="仿宋" w:cs="仿宋"/>
          <w:color w:val="000000"/>
          <w:sz w:val="30"/>
          <w:szCs w:val="30"/>
          <w:lang w:val="en-US" w:eastAsia="zh-CN"/>
        </w:rPr>
        <w:t>网点</w:t>
      </w:r>
      <w:r>
        <w:rPr>
          <w:rFonts w:hint="eastAsia" w:ascii="仿宋" w:hAnsi="仿宋" w:eastAsia="仿宋" w:cs="仿宋"/>
          <w:color w:val="000000"/>
          <w:sz w:val="30"/>
          <w:szCs w:val="30"/>
        </w:rPr>
        <w:t>负责本机构内的声誉风险管理工作。</w:t>
      </w:r>
    </w:p>
    <w:p>
      <w:pPr>
        <w:pStyle w:val="6"/>
        <w:spacing w:before="0" w:beforeAutospacing="0" w:after="0" w:afterAutospacing="0"/>
        <w:ind w:firstLine="300" w:firstLineChars="100"/>
        <w:jc w:val="both"/>
        <w:rPr>
          <w:rFonts w:hint="eastAsia" w:ascii="仿宋" w:hAnsi="仿宋" w:eastAsia="仿宋" w:cs="仿宋"/>
          <w:color w:val="404040"/>
          <w:sz w:val="30"/>
          <w:szCs w:val="30"/>
        </w:rPr>
      </w:pPr>
      <w:r>
        <w:rPr>
          <w:rFonts w:hint="eastAsia" w:ascii="仿宋" w:hAnsi="仿宋" w:eastAsia="仿宋" w:cs="仿宋"/>
          <w:color w:val="000000"/>
          <w:sz w:val="30"/>
          <w:szCs w:val="30"/>
        </w:rPr>
        <w:t>（三）风险计量、检测和管理信息系统</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本行暂无声誉风险计量、检测和管理信息系统。</w:t>
      </w:r>
    </w:p>
    <w:p>
      <w:pPr>
        <w:pStyle w:val="6"/>
        <w:spacing w:before="0" w:beforeAutospacing="0" w:after="0" w:afterAutospacing="0"/>
        <w:ind w:firstLine="300" w:firstLineChars="100"/>
        <w:jc w:val="both"/>
        <w:rPr>
          <w:rFonts w:hint="eastAsia" w:ascii="仿宋" w:hAnsi="仿宋" w:eastAsia="仿宋" w:cs="仿宋"/>
          <w:color w:val="404040"/>
          <w:sz w:val="30"/>
          <w:szCs w:val="30"/>
        </w:rPr>
      </w:pPr>
      <w:r>
        <w:rPr>
          <w:rFonts w:hint="eastAsia" w:ascii="仿宋" w:hAnsi="仿宋" w:eastAsia="仿宋" w:cs="仿宋"/>
          <w:color w:val="000000"/>
          <w:sz w:val="30"/>
          <w:szCs w:val="30"/>
        </w:rPr>
        <w:t>（四）内部控制和全面审计情况</w:t>
      </w:r>
    </w:p>
    <w:p>
      <w:pPr>
        <w:pStyle w:val="6"/>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制定了《声誉风险管理办法》、《舆情风险应急预案》，通过设立专人负责舆情监测工作，确保一旦发现负面舆情，能及时向董事会和经营管理层汇报，并积极进行多方面、多渠道处置，确保第一时间化解声誉风险。本行深入开展了服务收费行为排查、稽核检查、内部审计，规范经营行为；同时，本行充分履行信息披露义务，对于产品与服务的性质、主要风险以及收费标准等的介绍说明全面、真实。报告期内，本行声誉风险基本可控。</w:t>
      </w:r>
    </w:p>
    <w:p>
      <w:pPr>
        <w:pStyle w:val="2"/>
        <w:spacing w:before="0" w:beforeAutospacing="0" w:after="0" w:afterAutospacing="0" w:line="387" w:lineRule="atLeast"/>
        <w:jc w:val="center"/>
        <w:rPr>
          <w:rFonts w:ascii="微软雅黑" w:hAnsi="微软雅黑" w:eastAsia="微软雅黑"/>
          <w:color w:val="404040"/>
          <w:sz w:val="17"/>
          <w:szCs w:val="17"/>
        </w:rPr>
      </w:pPr>
      <w:bookmarkStart w:id="46" w:name="_Toc481080009"/>
      <w:bookmarkEnd w:id="46"/>
      <w:bookmarkStart w:id="47" w:name="_Toc227401540"/>
      <w:bookmarkEnd w:id="47"/>
      <w:bookmarkStart w:id="48" w:name="_Toc193883062"/>
      <w:r>
        <w:rPr>
          <w:rStyle w:val="10"/>
          <w:rFonts w:hint="eastAsia"/>
          <w:b/>
          <w:bCs/>
          <w:color w:val="000000"/>
          <w:sz w:val="30"/>
          <w:szCs w:val="30"/>
        </w:rPr>
        <w:t>第五章 </w:t>
      </w:r>
      <w:r>
        <w:rPr>
          <w:rStyle w:val="11"/>
          <w:rFonts w:hint="eastAsia"/>
          <w:color w:val="000000"/>
          <w:sz w:val="30"/>
          <w:szCs w:val="30"/>
        </w:rPr>
        <w:t> </w:t>
      </w:r>
      <w:bookmarkEnd w:id="48"/>
      <w:r>
        <w:rPr>
          <w:rStyle w:val="10"/>
          <w:rFonts w:hint="eastAsia"/>
          <w:b/>
          <w:bCs/>
          <w:color w:val="000000"/>
          <w:sz w:val="30"/>
          <w:szCs w:val="30"/>
        </w:rPr>
        <w:t>公司治理情况</w:t>
      </w:r>
    </w:p>
    <w:p>
      <w:pPr>
        <w:pStyle w:val="3"/>
        <w:spacing w:line="322" w:lineRule="atLeast"/>
        <w:jc w:val="both"/>
        <w:rPr>
          <w:rFonts w:ascii="微软雅黑" w:hAnsi="微软雅黑" w:eastAsia="微软雅黑"/>
          <w:color w:val="404040"/>
          <w:sz w:val="15"/>
          <w:szCs w:val="15"/>
        </w:rPr>
      </w:pPr>
      <w:bookmarkStart w:id="49" w:name="_Toc227401541"/>
      <w:bookmarkEnd w:id="49"/>
      <w:bookmarkStart w:id="50" w:name="_Toc193883063"/>
      <w:r>
        <w:rPr>
          <w:rStyle w:val="10"/>
          <w:rFonts w:ascii="Arial" w:hAnsi="Arial" w:eastAsia="微软雅黑" w:cs="Arial"/>
          <w:b/>
          <w:bCs/>
          <w:color w:val="404040"/>
        </w:rPr>
        <w:t>   </w:t>
      </w:r>
      <w:r>
        <w:rPr>
          <w:rStyle w:val="11"/>
          <w:rFonts w:ascii="Arial" w:hAnsi="Arial" w:eastAsia="微软雅黑" w:cs="Arial"/>
          <w:color w:val="404040"/>
        </w:rPr>
        <w:t> </w:t>
      </w:r>
      <w:bookmarkEnd w:id="50"/>
      <w:bookmarkStart w:id="51" w:name="_Toc481080010"/>
      <w:r>
        <w:rPr>
          <w:rStyle w:val="10"/>
          <w:rFonts w:hint="eastAsia" w:cs="Arial"/>
          <w:b w:val="0"/>
          <w:bCs w:val="0"/>
          <w:color w:val="000000"/>
          <w:sz w:val="28"/>
          <w:szCs w:val="28"/>
        </w:rPr>
        <w:t>一、</w:t>
      </w:r>
      <w:bookmarkEnd w:id="51"/>
      <w:r>
        <w:rPr>
          <w:rStyle w:val="10"/>
          <w:rFonts w:hint="eastAsia" w:cs="Arial"/>
          <w:b/>
          <w:bCs/>
          <w:color w:val="000000"/>
          <w:sz w:val="24"/>
          <w:szCs w:val="24"/>
        </w:rPr>
        <w:t>经营决策体系</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本行权力机构是股东代表大会，通过董事会进行决策、管理，由监事会行使监督职能。</w:t>
      </w:r>
      <w:r>
        <w:rPr>
          <w:rFonts w:hint="eastAsia" w:ascii="仿宋" w:hAnsi="仿宋" w:eastAsia="仿宋" w:cs="仿宋"/>
          <w:color w:val="000000"/>
          <w:sz w:val="30"/>
          <w:szCs w:val="30"/>
          <w:lang w:val="en-US" w:eastAsia="zh-CN"/>
        </w:rPr>
        <w:t>董事长</w:t>
      </w:r>
      <w:r>
        <w:rPr>
          <w:rFonts w:hint="eastAsia" w:ascii="仿宋" w:hAnsi="仿宋" w:eastAsia="仿宋" w:cs="仿宋"/>
          <w:color w:val="000000"/>
          <w:sz w:val="30"/>
          <w:szCs w:val="30"/>
        </w:rPr>
        <w:t>对董事会负责，执行董事会的各项决议。本行实行一级法人体制，通过董事会、监事会进行管理和监督。行长受聘于董事会，负责本行日常经营管理。</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报告期内，本行不断完善股东代表大会、董事会、监事会和经营管理层独立运作、有效制衡的公司治理结构，其核心目标是在尊重和保护存款人利益的前提下，追求股东价值。</w:t>
      </w:r>
    </w:p>
    <w:p>
      <w:pPr>
        <w:pStyle w:val="3"/>
        <w:spacing w:line="322" w:lineRule="atLeast"/>
        <w:jc w:val="both"/>
        <w:rPr>
          <w:rFonts w:ascii="微软雅黑" w:hAnsi="微软雅黑" w:eastAsia="微软雅黑"/>
          <w:color w:val="404040"/>
          <w:sz w:val="15"/>
          <w:szCs w:val="15"/>
        </w:rPr>
      </w:pPr>
      <w:bookmarkStart w:id="52" w:name="_Toc227401542"/>
      <w:bookmarkEnd w:id="52"/>
      <w:bookmarkStart w:id="53" w:name="_Toc193883064"/>
      <w:r>
        <w:rPr>
          <w:rStyle w:val="10"/>
          <w:rFonts w:ascii="Arial" w:hAnsi="Arial" w:eastAsia="微软雅黑" w:cs="Arial"/>
          <w:b/>
          <w:bCs/>
          <w:color w:val="404040"/>
        </w:rPr>
        <w:t>   </w:t>
      </w:r>
      <w:r>
        <w:rPr>
          <w:rStyle w:val="11"/>
          <w:rFonts w:ascii="Arial" w:hAnsi="Arial" w:eastAsia="微软雅黑" w:cs="Arial"/>
          <w:color w:val="404040"/>
        </w:rPr>
        <w:t> </w:t>
      </w:r>
      <w:bookmarkEnd w:id="53"/>
      <w:bookmarkStart w:id="54" w:name="_Toc481080011"/>
      <w:r>
        <w:rPr>
          <w:rStyle w:val="10"/>
          <w:rFonts w:hint="eastAsia" w:cs="Arial"/>
          <w:b w:val="0"/>
          <w:bCs w:val="0"/>
          <w:color w:val="000000"/>
          <w:sz w:val="28"/>
          <w:szCs w:val="28"/>
        </w:rPr>
        <w:t>二、</w:t>
      </w:r>
      <w:bookmarkEnd w:id="54"/>
      <w:r>
        <w:rPr>
          <w:rStyle w:val="10"/>
          <w:rFonts w:hint="eastAsia" w:cs="Arial"/>
          <w:b/>
          <w:bCs/>
          <w:color w:val="000000"/>
          <w:sz w:val="24"/>
          <w:szCs w:val="24"/>
        </w:rPr>
        <w:t>年度内召开股东大会情况</w:t>
      </w:r>
    </w:p>
    <w:p>
      <w:pPr>
        <w:pStyle w:val="4"/>
        <w:spacing w:before="0" w:beforeAutospacing="0" w:after="0" w:afterAutospacing="0"/>
        <w:ind w:firstLine="600" w:firstLineChars="200"/>
        <w:jc w:val="both"/>
        <w:rPr>
          <w:rFonts w:hint="eastAsia" w:ascii="仿宋" w:hAnsi="仿宋" w:eastAsia="仿宋" w:cs="仿宋"/>
          <w:color w:val="404040"/>
          <w:sz w:val="30"/>
          <w:szCs w:val="30"/>
        </w:rPr>
      </w:pPr>
      <w:bookmarkStart w:id="55" w:name="_Toc193883065"/>
      <w:r>
        <w:rPr>
          <w:rFonts w:hint="eastAsia" w:ascii="仿宋" w:hAnsi="仿宋" w:eastAsia="仿宋" w:cs="仿宋"/>
          <w:color w:val="000000"/>
          <w:sz w:val="30"/>
          <w:szCs w:val="30"/>
        </w:rPr>
        <w:t>报告期内，201</w:t>
      </w:r>
      <w:r>
        <w:rPr>
          <w:rFonts w:hint="eastAsia" w:ascii="仿宋" w:hAnsi="仿宋" w:eastAsia="仿宋" w:cs="仿宋"/>
          <w:color w:val="000000"/>
          <w:sz w:val="30"/>
          <w:szCs w:val="30"/>
          <w:lang w:val="en-US" w:eastAsia="zh-CN"/>
        </w:rPr>
        <w:t>9</w:t>
      </w:r>
      <w:r>
        <w:rPr>
          <w:rFonts w:hint="eastAsia" w:ascii="仿宋" w:hAnsi="仿宋" w:eastAsia="仿宋" w:cs="仿宋"/>
          <w:color w:val="000000"/>
          <w:sz w:val="30"/>
          <w:szCs w:val="30"/>
        </w:rPr>
        <w:t>年本行共召开了1次股东大会，会议程序符合银监会和《章程》有关规定。</w:t>
      </w:r>
      <w:bookmarkEnd w:id="55"/>
    </w:p>
    <w:p>
      <w:pPr>
        <w:pStyle w:val="4"/>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一级法人体制下召开的股东大会：</w:t>
      </w:r>
    </w:p>
    <w:tbl>
      <w:tblPr>
        <w:tblStyle w:val="8"/>
        <w:tblW w:w="8786"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15" w:type="dxa"/>
          <w:left w:w="15" w:type="dxa"/>
          <w:bottom w:w="15" w:type="dxa"/>
          <w:right w:w="15" w:type="dxa"/>
        </w:tblCellMar>
      </w:tblPr>
      <w:tblGrid>
        <w:gridCol w:w="1842"/>
        <w:gridCol w:w="1132"/>
        <w:gridCol w:w="581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jc w:val="center"/>
        </w:trPr>
        <w:tc>
          <w:tcPr>
            <w:tcW w:w="184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会议名称</w:t>
            </w:r>
          </w:p>
        </w:tc>
        <w:tc>
          <w:tcPr>
            <w:tcW w:w="1132" w:type="dxa"/>
            <w:tcBorders>
              <w:top w:val="single" w:color="000000" w:sz="8" w:space="0"/>
              <w:left w:val="single" w:color="auto" w:sz="8" w:space="0"/>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时间</w:t>
            </w:r>
          </w:p>
        </w:tc>
        <w:tc>
          <w:tcPr>
            <w:tcW w:w="5812" w:type="dxa"/>
            <w:tcBorders>
              <w:top w:val="single" w:color="000000" w:sz="8" w:space="0"/>
              <w:left w:val="single" w:color="auto" w:sz="8" w:space="0"/>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工作情况</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631" w:hRule="atLeast"/>
          <w:jc w:val="center"/>
        </w:trPr>
        <w:tc>
          <w:tcPr>
            <w:tcW w:w="184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201</w:t>
            </w:r>
            <w:r>
              <w:rPr>
                <w:rFonts w:hint="eastAsia" w:cs="Times New Roman"/>
                <w:color w:val="000000"/>
                <w:sz w:val="16"/>
                <w:szCs w:val="16"/>
                <w:lang w:val="en-US" w:eastAsia="zh-CN"/>
              </w:rPr>
              <w:t>9</w:t>
            </w:r>
            <w:r>
              <w:rPr>
                <w:rFonts w:hint="eastAsia" w:cs="Times New Roman"/>
                <w:color w:val="000000"/>
                <w:sz w:val="16"/>
                <w:szCs w:val="16"/>
              </w:rPr>
              <w:t>年第一次股东大会</w:t>
            </w:r>
          </w:p>
        </w:tc>
        <w:tc>
          <w:tcPr>
            <w:tcW w:w="1132" w:type="dxa"/>
            <w:tcBorders>
              <w:top w:val="nil"/>
              <w:left w:val="nil"/>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lang w:val="en-US" w:eastAsia="zh-CN"/>
              </w:rPr>
            </w:pPr>
            <w:r>
              <w:rPr>
                <w:rFonts w:hint="eastAsia" w:ascii="微软雅黑" w:hAnsi="微软雅黑" w:eastAsia="微软雅黑"/>
                <w:color w:val="404040"/>
                <w:sz w:val="15"/>
                <w:szCs w:val="15"/>
                <w:lang w:val="en-US" w:eastAsia="zh-CN"/>
              </w:rPr>
              <w:t>2019.5.7</w:t>
            </w:r>
          </w:p>
        </w:tc>
        <w:tc>
          <w:tcPr>
            <w:tcW w:w="58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both"/>
              <w:rPr>
                <w:rFonts w:hint="default" w:ascii="微软雅黑" w:hAnsi="微软雅黑" w:eastAsia="微软雅黑"/>
                <w:color w:val="404040"/>
                <w:sz w:val="15"/>
                <w:szCs w:val="15"/>
              </w:rPr>
            </w:pPr>
            <w:r>
              <w:rPr>
                <w:rFonts w:hint="eastAsia" w:cs="Times New Roman"/>
                <w:color w:val="000000"/>
                <w:sz w:val="16"/>
                <w:szCs w:val="16"/>
              </w:rPr>
              <w:t>审议通过《临猗县新田村镇银行股份有限公司董事会201</w:t>
            </w:r>
            <w:r>
              <w:rPr>
                <w:rFonts w:hint="eastAsia" w:cs="Times New Roman"/>
                <w:color w:val="000000"/>
                <w:sz w:val="16"/>
                <w:szCs w:val="16"/>
                <w:lang w:val="en-US" w:eastAsia="zh-CN"/>
              </w:rPr>
              <w:t>8</w:t>
            </w:r>
            <w:r>
              <w:rPr>
                <w:rFonts w:hint="eastAsia" w:cs="Times New Roman"/>
                <w:color w:val="000000"/>
                <w:sz w:val="16"/>
                <w:szCs w:val="16"/>
              </w:rPr>
              <w:t>年度工作报告的议案》；《临猗县新田村镇银行股份有限公司监事会201</w:t>
            </w:r>
            <w:r>
              <w:rPr>
                <w:rFonts w:hint="eastAsia" w:cs="Times New Roman"/>
                <w:color w:val="000000"/>
                <w:sz w:val="16"/>
                <w:szCs w:val="16"/>
                <w:lang w:val="en-US" w:eastAsia="zh-CN"/>
              </w:rPr>
              <w:t>8</w:t>
            </w:r>
            <w:r>
              <w:rPr>
                <w:rFonts w:hint="eastAsia" w:cs="Times New Roman"/>
                <w:color w:val="000000"/>
                <w:sz w:val="16"/>
                <w:szCs w:val="16"/>
              </w:rPr>
              <w:t>年度工作报告的议案》；《临猗县新田村镇银行股份有限公司201</w:t>
            </w:r>
            <w:r>
              <w:rPr>
                <w:rFonts w:hint="eastAsia" w:cs="Times New Roman"/>
                <w:color w:val="000000"/>
                <w:sz w:val="16"/>
                <w:szCs w:val="16"/>
                <w:lang w:val="en-US" w:eastAsia="zh-CN"/>
              </w:rPr>
              <w:t>8</w:t>
            </w:r>
            <w:r>
              <w:rPr>
                <w:rFonts w:hint="eastAsia" w:cs="Times New Roman"/>
                <w:color w:val="000000"/>
                <w:sz w:val="16"/>
                <w:szCs w:val="16"/>
              </w:rPr>
              <w:t>年度财务决算报告及201</w:t>
            </w:r>
            <w:r>
              <w:rPr>
                <w:rFonts w:hint="eastAsia" w:cs="Times New Roman"/>
                <w:color w:val="000000"/>
                <w:sz w:val="16"/>
                <w:szCs w:val="16"/>
                <w:lang w:val="en-US" w:eastAsia="zh-CN"/>
              </w:rPr>
              <w:t>9</w:t>
            </w:r>
            <w:r>
              <w:rPr>
                <w:rFonts w:hint="eastAsia" w:cs="Times New Roman"/>
                <w:color w:val="000000"/>
                <w:sz w:val="16"/>
                <w:szCs w:val="16"/>
              </w:rPr>
              <w:t>年度财务预算方案的议案》；《临猗县新田村镇银行股份有限公司201</w:t>
            </w:r>
            <w:r>
              <w:rPr>
                <w:rFonts w:hint="eastAsia" w:cs="Times New Roman"/>
                <w:color w:val="000000"/>
                <w:sz w:val="16"/>
                <w:szCs w:val="16"/>
                <w:lang w:val="en-US" w:eastAsia="zh-CN"/>
              </w:rPr>
              <w:t>8</w:t>
            </w:r>
            <w:r>
              <w:rPr>
                <w:rFonts w:hint="eastAsia" w:cs="Times New Roman"/>
                <w:color w:val="000000"/>
                <w:sz w:val="16"/>
                <w:szCs w:val="16"/>
              </w:rPr>
              <w:t>年信息披露的议案》；《</w:t>
            </w:r>
            <w:r>
              <w:rPr>
                <w:rFonts w:hint="eastAsia" w:cs="Times New Roman"/>
                <w:color w:val="000000"/>
                <w:sz w:val="16"/>
                <w:szCs w:val="16"/>
                <w:lang w:val="en-US" w:eastAsia="zh-CN"/>
              </w:rPr>
              <w:t>董事会通过股权托管的议案</w:t>
            </w:r>
            <w:r>
              <w:rPr>
                <w:rFonts w:hint="eastAsia" w:cs="Times New Roman"/>
                <w:color w:val="000000"/>
                <w:sz w:val="16"/>
                <w:szCs w:val="16"/>
              </w:rPr>
              <w:t>》；《</w:t>
            </w:r>
            <w:r>
              <w:rPr>
                <w:rFonts w:hint="eastAsia" w:cs="Times New Roman"/>
                <w:color w:val="000000"/>
                <w:sz w:val="16"/>
                <w:szCs w:val="16"/>
                <w:lang w:val="en-US" w:eastAsia="zh-CN"/>
              </w:rPr>
              <w:t>董事会选举刘彩红为董事的议案</w:t>
            </w:r>
            <w:r>
              <w:rPr>
                <w:rFonts w:hint="eastAsia" w:cs="Times New Roman"/>
                <w:color w:val="000000"/>
                <w:sz w:val="16"/>
                <w:szCs w:val="16"/>
              </w:rPr>
              <w:t>》</w:t>
            </w:r>
          </w:p>
        </w:tc>
      </w:tr>
    </w:tbl>
    <w:p>
      <w:pPr>
        <w:pStyle w:val="3"/>
        <w:spacing w:line="322" w:lineRule="atLeast"/>
        <w:jc w:val="both"/>
        <w:rPr>
          <w:rFonts w:ascii="微软雅黑" w:hAnsi="微软雅黑" w:eastAsia="微软雅黑"/>
          <w:color w:val="404040"/>
          <w:sz w:val="15"/>
          <w:szCs w:val="15"/>
        </w:rPr>
      </w:pPr>
      <w:bookmarkStart w:id="56" w:name="_Toc227401547"/>
      <w:bookmarkEnd w:id="56"/>
      <w:bookmarkStart w:id="57" w:name="_Toc193883070"/>
      <w:r>
        <w:rPr>
          <w:rStyle w:val="10"/>
          <w:rFonts w:ascii="Arial" w:hAnsi="Arial" w:eastAsia="微软雅黑" w:cs="Arial"/>
          <w:b/>
          <w:bCs/>
          <w:color w:val="404040"/>
        </w:rPr>
        <w:t>   </w:t>
      </w:r>
      <w:r>
        <w:rPr>
          <w:rStyle w:val="11"/>
          <w:rFonts w:ascii="Arial" w:hAnsi="Arial" w:eastAsia="微软雅黑" w:cs="Arial"/>
          <w:color w:val="404040"/>
        </w:rPr>
        <w:t> </w:t>
      </w:r>
      <w:bookmarkEnd w:id="57"/>
      <w:bookmarkStart w:id="58" w:name="_Toc481080012"/>
      <w:r>
        <w:rPr>
          <w:rStyle w:val="10"/>
          <w:rFonts w:hint="eastAsia" w:cs="Arial"/>
          <w:b w:val="0"/>
          <w:bCs w:val="0"/>
          <w:color w:val="000000"/>
          <w:sz w:val="28"/>
          <w:szCs w:val="28"/>
        </w:rPr>
        <w:t>三、</w:t>
      </w:r>
      <w:bookmarkEnd w:id="58"/>
      <w:r>
        <w:rPr>
          <w:rStyle w:val="10"/>
          <w:rFonts w:hint="eastAsia" w:cs="Arial"/>
          <w:b/>
          <w:bCs/>
          <w:color w:val="000000"/>
          <w:sz w:val="24"/>
          <w:szCs w:val="24"/>
        </w:rPr>
        <w:t>董事会的构成及其工作情况</w:t>
      </w:r>
    </w:p>
    <w:p>
      <w:pPr>
        <w:pStyle w:val="7"/>
        <w:spacing w:before="0" w:beforeAutospacing="0" w:after="0" w:afterAutospacing="0"/>
        <w:jc w:val="both"/>
        <w:rPr>
          <w:rFonts w:hint="eastAsia" w:ascii="仿宋" w:hAnsi="仿宋" w:eastAsia="仿宋" w:cs="仿宋"/>
          <w:color w:val="404040"/>
          <w:sz w:val="30"/>
          <w:szCs w:val="30"/>
        </w:rPr>
      </w:pPr>
      <w:bookmarkStart w:id="59" w:name="_Toc193883071"/>
      <w:bookmarkEnd w:id="59"/>
      <w:bookmarkStart w:id="60" w:name="_Toc227401548"/>
      <w:r>
        <w:rPr>
          <w:rFonts w:hint="eastAsia" w:ascii="仿宋" w:hAnsi="仿宋" w:eastAsia="仿宋" w:cs="仿宋"/>
          <w:color w:val="000000"/>
          <w:sz w:val="30"/>
          <w:szCs w:val="30"/>
        </w:rPr>
        <w:t>（一）董事会的构成情况</w:t>
      </w:r>
      <w:bookmarkEnd w:id="60"/>
    </w:p>
    <w:p>
      <w:pPr>
        <w:pStyle w:val="7"/>
        <w:spacing w:before="0" w:beforeAutospacing="0" w:after="0" w:afterAutospacing="0"/>
        <w:ind w:firstLine="600" w:firstLineChars="200"/>
        <w:jc w:val="both"/>
        <w:rPr>
          <w:rFonts w:hint="eastAsia" w:ascii="仿宋" w:hAnsi="仿宋" w:eastAsia="仿宋" w:cs="仿宋"/>
          <w:color w:val="000000"/>
          <w:sz w:val="30"/>
          <w:szCs w:val="30"/>
        </w:rPr>
      </w:pPr>
      <w:r>
        <w:rPr>
          <w:rFonts w:hint="eastAsia" w:ascii="仿宋" w:hAnsi="仿宋" w:eastAsia="仿宋" w:cs="仿宋"/>
          <w:color w:val="000000"/>
          <w:sz w:val="30"/>
          <w:szCs w:val="30"/>
        </w:rPr>
        <w:t>本行严格按照《章程》规定的董事任职资格和选聘程序选举董事，董事会的人数和人员构成符合法律法规的要求。报告期末，本行董事会由5名董事组成。</w:t>
      </w:r>
    </w:p>
    <w:p>
      <w:pPr>
        <w:pStyle w:val="7"/>
        <w:spacing w:before="0" w:beforeAutospacing="0" w:after="0" w:afterAutospacing="0"/>
        <w:jc w:val="both"/>
        <w:rPr>
          <w:rFonts w:cs="Times New Roman"/>
          <w:color w:val="000000"/>
        </w:rPr>
      </w:pPr>
    </w:p>
    <w:p>
      <w:pPr>
        <w:pStyle w:val="7"/>
        <w:spacing w:before="0" w:beforeAutospacing="0" w:after="0" w:afterAutospacing="0"/>
        <w:jc w:val="both"/>
        <w:rPr>
          <w:rFonts w:ascii="微软雅黑" w:hAnsi="微软雅黑" w:eastAsia="微软雅黑"/>
          <w:color w:val="404040"/>
          <w:sz w:val="15"/>
          <w:szCs w:val="15"/>
        </w:rPr>
      </w:pPr>
    </w:p>
    <w:tbl>
      <w:tblPr>
        <w:tblStyle w:val="8"/>
        <w:tblW w:w="5638"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
      <w:tblGrid>
        <w:gridCol w:w="726"/>
        <w:gridCol w:w="558"/>
        <w:gridCol w:w="661"/>
        <w:gridCol w:w="2106"/>
        <w:gridCol w:w="771"/>
        <w:gridCol w:w="81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30" w:hRule="atLeast"/>
          <w:jc w:val="center"/>
        </w:trPr>
        <w:tc>
          <w:tcPr>
            <w:tcW w:w="726" w:type="dxa"/>
            <w:tcBorders>
              <w:top w:val="single" w:color="DDDDDD" w:sz="8" w:space="0"/>
              <w:left w:val="single" w:color="DDDDDD"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姓名</w:t>
            </w:r>
          </w:p>
        </w:tc>
        <w:tc>
          <w:tcPr>
            <w:tcW w:w="558" w:type="dxa"/>
            <w:tcBorders>
              <w:top w:val="single" w:color="DDDDDD" w:sz="8" w:space="0"/>
              <w:left w:val="single" w:color="auto"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性别</w:t>
            </w:r>
          </w:p>
        </w:tc>
        <w:tc>
          <w:tcPr>
            <w:tcW w:w="661" w:type="dxa"/>
            <w:tcBorders>
              <w:top w:val="single" w:color="DDDDDD" w:sz="8" w:space="0"/>
              <w:left w:val="single" w:color="auto"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学历</w:t>
            </w:r>
          </w:p>
        </w:tc>
        <w:tc>
          <w:tcPr>
            <w:tcW w:w="2106" w:type="dxa"/>
            <w:tcBorders>
              <w:top w:val="single" w:color="DDDDDD" w:sz="8" w:space="0"/>
              <w:left w:val="single" w:color="auto"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社会职务</w:t>
            </w:r>
          </w:p>
        </w:tc>
        <w:tc>
          <w:tcPr>
            <w:tcW w:w="771" w:type="dxa"/>
            <w:tcBorders>
              <w:top w:val="single" w:color="DDDDDD" w:sz="8" w:space="0"/>
              <w:left w:val="single" w:color="auto"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职务</w:t>
            </w:r>
          </w:p>
        </w:tc>
        <w:tc>
          <w:tcPr>
            <w:tcW w:w="816" w:type="dxa"/>
            <w:tcBorders>
              <w:top w:val="single" w:color="DDDDDD" w:sz="8" w:space="0"/>
              <w:left w:val="single" w:color="auto"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代表的股权</w:t>
            </w:r>
          </w:p>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类别</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448" w:hRule="atLeast"/>
          <w:jc w:val="center"/>
        </w:trPr>
        <w:tc>
          <w:tcPr>
            <w:tcW w:w="726" w:type="dxa"/>
            <w:tcBorders>
              <w:top w:val="nil"/>
              <w:left w:val="single" w:color="DDDDDD"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范晓云</w:t>
            </w:r>
          </w:p>
        </w:tc>
        <w:tc>
          <w:tcPr>
            <w:tcW w:w="55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女</w:t>
            </w:r>
          </w:p>
        </w:tc>
        <w:tc>
          <w:tcPr>
            <w:tcW w:w="66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本科</w:t>
            </w:r>
          </w:p>
        </w:tc>
        <w:tc>
          <w:tcPr>
            <w:tcW w:w="210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临猗县新田村镇银行股份有限公司董事长</w:t>
            </w:r>
          </w:p>
        </w:tc>
        <w:tc>
          <w:tcPr>
            <w:tcW w:w="77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董事长</w:t>
            </w:r>
          </w:p>
        </w:tc>
        <w:tc>
          <w:tcPr>
            <w:tcW w:w="81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本行</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1833" w:hRule="atLeast"/>
          <w:jc w:val="center"/>
        </w:trPr>
        <w:tc>
          <w:tcPr>
            <w:tcW w:w="726" w:type="dxa"/>
            <w:tcBorders>
              <w:top w:val="nil"/>
              <w:left w:val="single" w:color="DDDDDD"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薛胜利</w:t>
            </w:r>
          </w:p>
        </w:tc>
        <w:tc>
          <w:tcPr>
            <w:tcW w:w="55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男</w:t>
            </w:r>
          </w:p>
        </w:tc>
        <w:tc>
          <w:tcPr>
            <w:tcW w:w="66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lang w:val="en-US" w:eastAsia="zh-CN"/>
              </w:rPr>
            </w:pPr>
            <w:r>
              <w:rPr>
                <w:rFonts w:hint="eastAsia" w:ascii="微软雅黑" w:hAnsi="微软雅黑" w:eastAsia="微软雅黑"/>
                <w:color w:val="404040"/>
                <w:sz w:val="15"/>
                <w:szCs w:val="15"/>
                <w:lang w:val="en-US" w:eastAsia="zh-CN"/>
              </w:rPr>
              <w:t>大专</w:t>
            </w:r>
          </w:p>
        </w:tc>
        <w:tc>
          <w:tcPr>
            <w:tcW w:w="210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山西昌泰动物有限责任公司总经理</w:t>
            </w:r>
          </w:p>
        </w:tc>
        <w:tc>
          <w:tcPr>
            <w:tcW w:w="77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董事</w:t>
            </w:r>
          </w:p>
        </w:tc>
        <w:tc>
          <w:tcPr>
            <w:tcW w:w="81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自然人股东</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07" w:hRule="atLeast"/>
          <w:jc w:val="center"/>
        </w:trPr>
        <w:tc>
          <w:tcPr>
            <w:tcW w:w="726" w:type="dxa"/>
            <w:tcBorders>
              <w:top w:val="nil"/>
              <w:left w:val="single" w:color="DDDDDD"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杨长锁</w:t>
            </w:r>
          </w:p>
        </w:tc>
        <w:tc>
          <w:tcPr>
            <w:tcW w:w="55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男</w:t>
            </w:r>
          </w:p>
        </w:tc>
        <w:tc>
          <w:tcPr>
            <w:tcW w:w="66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大专</w:t>
            </w:r>
          </w:p>
        </w:tc>
        <w:tc>
          <w:tcPr>
            <w:tcW w:w="210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耽子长锁预制构件厂总经理</w:t>
            </w:r>
          </w:p>
        </w:tc>
        <w:tc>
          <w:tcPr>
            <w:tcW w:w="77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董事</w:t>
            </w:r>
          </w:p>
        </w:tc>
        <w:tc>
          <w:tcPr>
            <w:tcW w:w="81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自然人股东</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07" w:hRule="atLeast"/>
          <w:jc w:val="center"/>
        </w:trPr>
        <w:tc>
          <w:tcPr>
            <w:tcW w:w="726" w:type="dxa"/>
            <w:tcBorders>
              <w:top w:val="nil"/>
              <w:left w:val="single" w:color="DDDDDD"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袁淑兰</w:t>
            </w:r>
          </w:p>
        </w:tc>
        <w:tc>
          <w:tcPr>
            <w:tcW w:w="55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Fonts w:hint="eastAsia" w:eastAsia="微软雅黑" w:cs="Times New Roman"/>
                <w:color w:val="000000"/>
                <w:sz w:val="16"/>
                <w:szCs w:val="16"/>
                <w:lang w:val="en-US" w:eastAsia="zh-CN"/>
              </w:rPr>
              <w:t>女</w:t>
            </w:r>
          </w:p>
        </w:tc>
        <w:tc>
          <w:tcPr>
            <w:tcW w:w="66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大专</w:t>
            </w:r>
          </w:p>
        </w:tc>
        <w:tc>
          <w:tcPr>
            <w:tcW w:w="210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ascii="微软雅黑" w:hAnsi="微软雅黑" w:eastAsia="微软雅黑"/>
                <w:color w:val="404040"/>
                <w:sz w:val="15"/>
                <w:szCs w:val="15"/>
              </w:rPr>
              <w:t>个体</w:t>
            </w:r>
          </w:p>
        </w:tc>
        <w:tc>
          <w:tcPr>
            <w:tcW w:w="77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董事</w:t>
            </w:r>
          </w:p>
        </w:tc>
        <w:tc>
          <w:tcPr>
            <w:tcW w:w="81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自然人股东</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07" w:hRule="atLeast"/>
          <w:jc w:val="center"/>
        </w:trPr>
        <w:tc>
          <w:tcPr>
            <w:tcW w:w="726" w:type="dxa"/>
            <w:tcBorders>
              <w:top w:val="nil"/>
              <w:left w:val="single" w:color="DDDDDD"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Fonts w:hint="eastAsia" w:eastAsia="微软雅黑" w:cs="Times New Roman"/>
                <w:color w:val="000000"/>
                <w:sz w:val="16"/>
                <w:szCs w:val="16"/>
                <w:lang w:val="en-US" w:eastAsia="zh-CN"/>
              </w:rPr>
              <w:t>刘彩红</w:t>
            </w:r>
          </w:p>
        </w:tc>
        <w:tc>
          <w:tcPr>
            <w:tcW w:w="55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Fonts w:hint="eastAsia" w:eastAsia="微软雅黑" w:cs="Times New Roman"/>
                <w:color w:val="000000"/>
                <w:sz w:val="16"/>
                <w:szCs w:val="16"/>
                <w:lang w:val="en-US" w:eastAsia="zh-CN"/>
              </w:rPr>
              <w:t>女</w:t>
            </w:r>
          </w:p>
        </w:tc>
        <w:tc>
          <w:tcPr>
            <w:tcW w:w="66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微软雅黑"/>
                <w:color w:val="404040"/>
                <w:sz w:val="15"/>
                <w:szCs w:val="15"/>
                <w:lang w:eastAsia="zh-CN"/>
              </w:rPr>
            </w:pPr>
            <w:r>
              <w:rPr>
                <w:rFonts w:hint="eastAsia" w:eastAsia="微软雅黑" w:cs="Times New Roman"/>
                <w:color w:val="000000"/>
                <w:sz w:val="16"/>
                <w:szCs w:val="16"/>
                <w:lang w:val="en-US" w:eastAsia="zh-CN"/>
              </w:rPr>
              <w:t>大专</w:t>
            </w:r>
          </w:p>
        </w:tc>
        <w:tc>
          <w:tcPr>
            <w:tcW w:w="210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eastAsia" w:ascii="微软雅黑" w:hAnsi="微软雅黑" w:eastAsia="微软雅黑"/>
                <w:color w:val="404040"/>
                <w:sz w:val="15"/>
                <w:szCs w:val="15"/>
                <w:lang w:val="en-US" w:eastAsia="zh-CN"/>
              </w:rPr>
            </w:pPr>
            <w:r>
              <w:rPr>
                <w:rFonts w:hint="eastAsia" w:ascii="微软雅黑" w:hAnsi="微软雅黑" w:eastAsia="微软雅黑"/>
                <w:color w:val="404040"/>
                <w:sz w:val="15"/>
                <w:szCs w:val="15"/>
                <w:lang w:val="en-US" w:eastAsia="zh-CN"/>
              </w:rPr>
              <w:t>侯马市尚雅贸易有限公司</w:t>
            </w:r>
            <w:r>
              <w:rPr>
                <w:rFonts w:hint="default" w:ascii="微软雅黑" w:hAnsi="微软雅黑" w:eastAsia="微软雅黑"/>
                <w:color w:val="404040"/>
                <w:sz w:val="15"/>
                <w:szCs w:val="15"/>
              </w:rPr>
              <w:t>财务</w:t>
            </w:r>
            <w:r>
              <w:rPr>
                <w:rFonts w:hint="eastAsia" w:ascii="微软雅黑" w:hAnsi="微软雅黑" w:eastAsia="微软雅黑"/>
                <w:color w:val="404040"/>
                <w:sz w:val="15"/>
                <w:szCs w:val="15"/>
                <w:lang w:val="en-US" w:eastAsia="zh-CN"/>
              </w:rPr>
              <w:t>负责人</w:t>
            </w:r>
          </w:p>
        </w:tc>
        <w:tc>
          <w:tcPr>
            <w:tcW w:w="77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董事</w:t>
            </w:r>
          </w:p>
        </w:tc>
        <w:tc>
          <w:tcPr>
            <w:tcW w:w="81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自然人股东</w:t>
            </w:r>
          </w:p>
        </w:tc>
      </w:tr>
    </w:tbl>
    <w:p>
      <w:pPr>
        <w:pStyle w:val="7"/>
        <w:spacing w:before="0" w:beforeAutospacing="0" w:after="0" w:afterAutospacing="0"/>
        <w:jc w:val="both"/>
        <w:rPr>
          <w:rFonts w:hint="eastAsia" w:ascii="仿宋" w:hAnsi="仿宋" w:eastAsia="仿宋" w:cs="仿宋"/>
          <w:color w:val="404040"/>
          <w:sz w:val="30"/>
          <w:szCs w:val="30"/>
        </w:rPr>
      </w:pPr>
      <w:bookmarkStart w:id="61" w:name="_Toc193883072"/>
      <w:bookmarkEnd w:id="61"/>
      <w:bookmarkStart w:id="62" w:name="_Toc227401549"/>
      <w:bookmarkEnd w:id="62"/>
      <w:bookmarkStart w:id="63" w:name="_（二）理事会工作情况"/>
      <w:bookmarkEnd w:id="63"/>
      <w:r>
        <w:rPr>
          <w:rFonts w:hint="eastAsia" w:ascii="仿宋" w:hAnsi="仿宋" w:eastAsia="仿宋" w:cs="仿宋"/>
          <w:color w:val="000000"/>
          <w:sz w:val="30"/>
          <w:szCs w:val="30"/>
        </w:rPr>
        <w:t>（二）董事会工作情况</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201</w:t>
      </w:r>
      <w:r>
        <w:rPr>
          <w:rFonts w:hint="eastAsia" w:ascii="仿宋" w:hAnsi="仿宋" w:eastAsia="仿宋" w:cs="仿宋"/>
          <w:color w:val="000000"/>
          <w:sz w:val="30"/>
          <w:szCs w:val="30"/>
          <w:lang w:val="en-US" w:eastAsia="zh-CN"/>
        </w:rPr>
        <w:t>9</w:t>
      </w:r>
      <w:r>
        <w:rPr>
          <w:rFonts w:hint="eastAsia" w:ascii="仿宋" w:hAnsi="仿宋" w:eastAsia="仿宋" w:cs="仿宋"/>
          <w:color w:val="000000"/>
          <w:sz w:val="30"/>
          <w:szCs w:val="30"/>
        </w:rPr>
        <w:t>年本行董事会共召开了2次董事会，会议程序符合银监会和《章程》有关规定。</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一级法人体制下召开的董事会：</w:t>
      </w:r>
    </w:p>
    <w:tbl>
      <w:tblPr>
        <w:tblStyle w:val="8"/>
        <w:tblW w:w="9192"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15" w:type="dxa"/>
          <w:left w:w="15" w:type="dxa"/>
          <w:bottom w:w="15" w:type="dxa"/>
          <w:right w:w="15" w:type="dxa"/>
        </w:tblCellMar>
      </w:tblPr>
      <w:tblGrid>
        <w:gridCol w:w="1646"/>
        <w:gridCol w:w="1026"/>
        <w:gridCol w:w="652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242" w:hRule="atLeast"/>
          <w:jc w:val="center"/>
        </w:trPr>
        <w:tc>
          <w:tcPr>
            <w:tcW w:w="164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会议名称</w:t>
            </w:r>
          </w:p>
        </w:tc>
        <w:tc>
          <w:tcPr>
            <w:tcW w:w="1026" w:type="dxa"/>
            <w:tcBorders>
              <w:top w:val="single" w:color="000000" w:sz="8" w:space="0"/>
              <w:left w:val="single" w:color="auto" w:sz="8" w:space="0"/>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时间</w:t>
            </w:r>
          </w:p>
        </w:tc>
        <w:tc>
          <w:tcPr>
            <w:tcW w:w="6520" w:type="dxa"/>
            <w:tcBorders>
              <w:top w:val="single" w:color="000000" w:sz="8" w:space="0"/>
              <w:left w:val="single" w:color="auto" w:sz="8" w:space="0"/>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工作情况</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334" w:hRule="atLeast"/>
          <w:jc w:val="center"/>
        </w:trPr>
        <w:tc>
          <w:tcPr>
            <w:tcW w:w="164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第二届第</w:t>
            </w:r>
            <w:r>
              <w:rPr>
                <w:rFonts w:hint="eastAsia" w:cs="Times New Roman"/>
                <w:color w:val="000000"/>
                <w:sz w:val="16"/>
                <w:szCs w:val="16"/>
                <w:lang w:val="en-US" w:eastAsia="zh-CN"/>
              </w:rPr>
              <w:t>三</w:t>
            </w:r>
            <w:r>
              <w:rPr>
                <w:rFonts w:hint="eastAsia" w:cs="Times New Roman"/>
                <w:color w:val="000000"/>
                <w:sz w:val="16"/>
                <w:szCs w:val="16"/>
              </w:rPr>
              <w:t>次董事会</w:t>
            </w:r>
          </w:p>
        </w:tc>
        <w:tc>
          <w:tcPr>
            <w:tcW w:w="10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宋体"/>
                <w:color w:val="404040"/>
                <w:sz w:val="15"/>
                <w:szCs w:val="15"/>
                <w:lang w:eastAsia="zh-CN"/>
              </w:rPr>
            </w:pPr>
            <w:r>
              <w:rPr>
                <w:rFonts w:hint="eastAsia" w:cs="Times New Roman"/>
                <w:color w:val="000000"/>
                <w:sz w:val="16"/>
                <w:szCs w:val="16"/>
              </w:rPr>
              <w:t>201</w:t>
            </w:r>
            <w:r>
              <w:rPr>
                <w:rFonts w:hint="eastAsia" w:cs="Times New Roman"/>
                <w:color w:val="000000"/>
                <w:sz w:val="16"/>
                <w:szCs w:val="16"/>
                <w:lang w:val="en-US" w:eastAsia="zh-CN"/>
              </w:rPr>
              <w:t>9</w:t>
            </w:r>
            <w:r>
              <w:rPr>
                <w:rFonts w:hint="eastAsia" w:cs="Times New Roman"/>
                <w:color w:val="000000"/>
                <w:sz w:val="16"/>
                <w:szCs w:val="16"/>
              </w:rPr>
              <w:t>.5.</w:t>
            </w:r>
            <w:r>
              <w:rPr>
                <w:rFonts w:hint="eastAsia" w:cs="Times New Roman"/>
                <w:color w:val="000000"/>
                <w:sz w:val="16"/>
                <w:szCs w:val="16"/>
                <w:lang w:val="en-US" w:eastAsia="zh-CN"/>
              </w:rPr>
              <w:t>7</w:t>
            </w:r>
          </w:p>
        </w:tc>
        <w:tc>
          <w:tcPr>
            <w:tcW w:w="6520" w:type="dxa"/>
            <w:tcBorders>
              <w:top w:val="nil"/>
              <w:left w:val="nil"/>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000000"/>
                <w:sz w:val="16"/>
                <w:szCs w:val="16"/>
              </w:rPr>
              <w:t>审议通过了《关于临猗新田村镇银行2018年度财务决算报告及2019年度财务预算报告（草案）的议案》、《关于临猗新田村镇银行2018年度信息披露报告（草案）的议案》、《关于临猗新田村镇银行2019年消费者权益保护工作计划报告的议案》、《关于临猗新田村镇银行成立三农与小微企业金融服务委员会的议案》、《关于临猗新田村镇银行股东薛胜利、杨长锁等贷款授信的议案》、《关于临猗新田村镇银行2019年招聘员工的议案》、《关于临猗新田银行股份分红的议案》、</w:t>
            </w:r>
            <w:r>
              <w:rPr>
                <w:rFonts w:hint="eastAsia" w:cs="Times New Roman"/>
                <w:color w:val="000000"/>
                <w:sz w:val="16"/>
                <w:szCs w:val="16"/>
                <w:lang w:eastAsia="zh-CN"/>
              </w:rPr>
              <w:t>《</w:t>
            </w:r>
            <w:r>
              <w:rPr>
                <w:rFonts w:hint="eastAsia" w:cs="Times New Roman"/>
                <w:color w:val="000000"/>
                <w:sz w:val="16"/>
                <w:szCs w:val="16"/>
                <w:lang w:val="en-US" w:eastAsia="zh-CN"/>
              </w:rPr>
              <w:t>关于股权集中登记托管的议案</w:t>
            </w:r>
            <w:r>
              <w:rPr>
                <w:rFonts w:hint="eastAsia" w:cs="Times New Roman"/>
                <w:color w:val="000000"/>
                <w:sz w:val="16"/>
                <w:szCs w:val="16"/>
                <w:lang w:eastAsia="zh-CN"/>
              </w:rPr>
              <w:t>》</w:t>
            </w:r>
            <w:r>
              <w:rPr>
                <w:rFonts w:hint="eastAsia" w:cs="Times New Roman"/>
                <w:color w:val="000000"/>
                <w:sz w:val="16"/>
                <w:szCs w:val="16"/>
              </w:rPr>
              <w:t>《关于提名刘彩红为临猗县新田村镇银行股份有限公司董事的议案》</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jc w:val="center"/>
        </w:trPr>
        <w:tc>
          <w:tcPr>
            <w:tcW w:w="164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第二届第</w:t>
            </w:r>
            <w:r>
              <w:rPr>
                <w:rFonts w:hint="eastAsia" w:cs="Times New Roman"/>
                <w:color w:val="000000"/>
                <w:sz w:val="16"/>
                <w:szCs w:val="16"/>
                <w:lang w:val="en-US" w:eastAsia="zh-CN"/>
              </w:rPr>
              <w:t>四</w:t>
            </w:r>
            <w:r>
              <w:rPr>
                <w:rFonts w:hint="eastAsia" w:cs="Times New Roman"/>
                <w:color w:val="000000"/>
                <w:sz w:val="16"/>
                <w:szCs w:val="16"/>
              </w:rPr>
              <w:t>次董事会</w:t>
            </w:r>
          </w:p>
        </w:tc>
        <w:tc>
          <w:tcPr>
            <w:tcW w:w="10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宋体"/>
                <w:color w:val="404040"/>
                <w:sz w:val="15"/>
                <w:szCs w:val="15"/>
                <w:lang w:val="en-US" w:eastAsia="zh-CN"/>
              </w:rPr>
            </w:pPr>
            <w:r>
              <w:rPr>
                <w:rFonts w:hint="eastAsia" w:cs="Times New Roman"/>
                <w:color w:val="000000"/>
                <w:sz w:val="16"/>
                <w:szCs w:val="16"/>
              </w:rPr>
              <w:t>2019.</w:t>
            </w:r>
            <w:r>
              <w:rPr>
                <w:rFonts w:hint="eastAsia" w:cs="Times New Roman"/>
                <w:color w:val="000000"/>
                <w:sz w:val="16"/>
                <w:szCs w:val="16"/>
                <w:lang w:val="en-US" w:eastAsia="zh-CN"/>
              </w:rPr>
              <w:t>11</w:t>
            </w:r>
            <w:r>
              <w:rPr>
                <w:rFonts w:hint="eastAsia" w:cs="Times New Roman"/>
                <w:color w:val="000000"/>
                <w:sz w:val="16"/>
                <w:szCs w:val="16"/>
              </w:rPr>
              <w:t>.</w:t>
            </w:r>
            <w:r>
              <w:rPr>
                <w:rFonts w:hint="eastAsia" w:cs="Times New Roman"/>
                <w:color w:val="000000"/>
                <w:sz w:val="16"/>
                <w:szCs w:val="16"/>
                <w:lang w:val="en-US" w:eastAsia="zh-CN"/>
              </w:rPr>
              <w:t>28</w:t>
            </w:r>
          </w:p>
        </w:tc>
        <w:tc>
          <w:tcPr>
            <w:tcW w:w="6520" w:type="dxa"/>
            <w:tcBorders>
              <w:top w:val="nil"/>
              <w:left w:val="nil"/>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000000"/>
                <w:sz w:val="16"/>
                <w:szCs w:val="16"/>
              </w:rPr>
              <w:t>审议通过了《关于</w:t>
            </w:r>
            <w:r>
              <w:rPr>
                <w:rFonts w:hint="eastAsia" w:cs="Times New Roman"/>
                <w:color w:val="000000"/>
                <w:sz w:val="16"/>
                <w:szCs w:val="16"/>
                <w:lang w:val="en-US" w:eastAsia="zh-CN"/>
              </w:rPr>
              <w:t>修改临猗县新田村镇银行股份有限公司章程</w:t>
            </w:r>
            <w:r>
              <w:rPr>
                <w:rFonts w:hint="eastAsia" w:cs="Times New Roman"/>
                <w:color w:val="000000"/>
                <w:sz w:val="16"/>
                <w:szCs w:val="16"/>
              </w:rPr>
              <w:t>的议案》、</w:t>
            </w:r>
            <w:r>
              <w:rPr>
                <w:rFonts w:hint="eastAsia" w:cs="Times New Roman"/>
                <w:color w:val="000000"/>
                <w:sz w:val="16"/>
                <w:szCs w:val="16"/>
                <w:lang w:eastAsia="zh-CN"/>
              </w:rPr>
              <w:t>《</w:t>
            </w:r>
            <w:r>
              <w:rPr>
                <w:rFonts w:hint="eastAsia" w:cs="Times New Roman"/>
                <w:color w:val="000000"/>
                <w:sz w:val="16"/>
                <w:szCs w:val="16"/>
                <w:lang w:val="en-US" w:eastAsia="zh-CN"/>
              </w:rPr>
              <w:t>临猗新田村镇银行关于股东股权托管的议案</w:t>
            </w:r>
            <w:r>
              <w:rPr>
                <w:rFonts w:hint="eastAsia" w:cs="Times New Roman"/>
                <w:color w:val="000000"/>
                <w:sz w:val="16"/>
                <w:szCs w:val="16"/>
                <w:lang w:eastAsia="zh-CN"/>
              </w:rPr>
              <w:t>》</w:t>
            </w:r>
            <w:r>
              <w:rPr>
                <w:rFonts w:hint="eastAsia" w:cs="Times New Roman"/>
                <w:color w:val="000000"/>
                <w:sz w:val="16"/>
                <w:szCs w:val="16"/>
              </w:rPr>
              <w:t>《关于临猗新田村镇银行</w:t>
            </w:r>
            <w:r>
              <w:rPr>
                <w:rFonts w:hint="eastAsia" w:cs="Times New Roman"/>
                <w:color w:val="000000"/>
                <w:sz w:val="16"/>
                <w:szCs w:val="16"/>
                <w:lang w:val="en-US" w:eastAsia="zh-CN"/>
              </w:rPr>
              <w:t>董事会下设的审计委员会、薪酬委员会成员变更</w:t>
            </w:r>
            <w:r>
              <w:rPr>
                <w:rFonts w:hint="eastAsia" w:cs="Times New Roman"/>
                <w:color w:val="000000"/>
                <w:sz w:val="16"/>
                <w:szCs w:val="16"/>
              </w:rPr>
              <w:t>的议案》、《关于临猗新田村镇银行</w:t>
            </w:r>
            <w:r>
              <w:rPr>
                <w:rFonts w:hint="eastAsia" w:cs="Times New Roman"/>
                <w:color w:val="000000"/>
                <w:sz w:val="16"/>
                <w:szCs w:val="16"/>
                <w:lang w:val="en-US" w:eastAsia="zh-CN"/>
              </w:rPr>
              <w:t>董事会下设关联交易控制委员会</w:t>
            </w:r>
            <w:r>
              <w:rPr>
                <w:rFonts w:hint="eastAsia" w:cs="Times New Roman"/>
                <w:color w:val="000000"/>
                <w:sz w:val="16"/>
                <w:szCs w:val="16"/>
              </w:rPr>
              <w:t>的议案》、《关于临猗新田村镇银行</w:t>
            </w:r>
            <w:r>
              <w:rPr>
                <w:rFonts w:hint="eastAsia" w:cs="Times New Roman"/>
                <w:color w:val="000000"/>
                <w:sz w:val="16"/>
                <w:szCs w:val="16"/>
                <w:lang w:val="en-US" w:eastAsia="zh-CN"/>
              </w:rPr>
              <w:t>股东薛胜利、杨长锁贷款授信</w:t>
            </w:r>
            <w:r>
              <w:rPr>
                <w:rFonts w:hint="eastAsia" w:cs="Times New Roman"/>
                <w:color w:val="000000"/>
                <w:sz w:val="16"/>
                <w:szCs w:val="16"/>
              </w:rPr>
              <w:t>的议案》、《关于临猗新田村镇银行</w:t>
            </w:r>
            <w:r>
              <w:rPr>
                <w:rFonts w:hint="eastAsia" w:cs="Times New Roman"/>
                <w:color w:val="000000"/>
                <w:sz w:val="16"/>
                <w:szCs w:val="16"/>
                <w:lang w:val="en-US" w:eastAsia="zh-CN"/>
              </w:rPr>
              <w:t>股份有限公司</w:t>
            </w:r>
            <w:r>
              <w:rPr>
                <w:rFonts w:hint="eastAsia" w:cs="Times New Roman"/>
                <w:color w:val="000000"/>
                <w:sz w:val="16"/>
                <w:szCs w:val="16"/>
              </w:rPr>
              <w:t>2019年</w:t>
            </w:r>
            <w:r>
              <w:rPr>
                <w:rFonts w:hint="eastAsia" w:cs="Times New Roman"/>
                <w:color w:val="000000"/>
                <w:sz w:val="16"/>
                <w:szCs w:val="16"/>
                <w:lang w:val="en-US" w:eastAsia="zh-CN"/>
              </w:rPr>
              <w:t>员工等级管理办法</w:t>
            </w:r>
            <w:r>
              <w:rPr>
                <w:rFonts w:hint="eastAsia" w:cs="Times New Roman"/>
                <w:color w:val="000000"/>
                <w:sz w:val="16"/>
                <w:szCs w:val="16"/>
              </w:rPr>
              <w:t>的议案》、《关于</w:t>
            </w:r>
            <w:r>
              <w:rPr>
                <w:rFonts w:hint="eastAsia" w:cs="Times New Roman"/>
                <w:color w:val="000000"/>
                <w:sz w:val="16"/>
                <w:szCs w:val="16"/>
                <w:lang w:val="en-US" w:eastAsia="zh-CN"/>
              </w:rPr>
              <w:t>对重大关联交易人薛宏胜、黄恒军贷款</w:t>
            </w:r>
            <w:r>
              <w:rPr>
                <w:rFonts w:hint="eastAsia" w:cs="Times New Roman"/>
                <w:color w:val="000000"/>
                <w:sz w:val="16"/>
                <w:szCs w:val="16"/>
              </w:rPr>
              <w:t>的议案》</w:t>
            </w:r>
          </w:p>
        </w:tc>
      </w:tr>
    </w:tbl>
    <w:p>
      <w:pPr>
        <w:pStyle w:val="3"/>
        <w:spacing w:line="322" w:lineRule="atLeast"/>
        <w:jc w:val="both"/>
        <w:rPr>
          <w:rFonts w:ascii="微软雅黑" w:hAnsi="微软雅黑" w:eastAsia="微软雅黑"/>
          <w:color w:val="404040"/>
          <w:sz w:val="15"/>
          <w:szCs w:val="15"/>
        </w:rPr>
      </w:pPr>
      <w:r>
        <w:rPr>
          <w:rStyle w:val="10"/>
          <w:rFonts w:ascii="Arial" w:hAnsi="Arial" w:eastAsia="微软雅黑" w:cs="Arial"/>
          <w:b/>
          <w:bCs/>
          <w:color w:val="404040"/>
        </w:rPr>
        <w:t> </w:t>
      </w:r>
      <w:r>
        <w:rPr>
          <w:rStyle w:val="11"/>
          <w:rFonts w:ascii="Arial" w:hAnsi="Arial" w:eastAsia="微软雅黑" w:cs="Arial"/>
          <w:color w:val="404040"/>
        </w:rPr>
        <w:t> </w:t>
      </w:r>
      <w:bookmarkStart w:id="64" w:name="_Toc193883077"/>
      <w:bookmarkEnd w:id="64"/>
      <w:bookmarkStart w:id="65" w:name="_Toc227401550"/>
      <w:bookmarkEnd w:id="65"/>
      <w:bookmarkStart w:id="66" w:name="_Toc481080013"/>
      <w:bookmarkEnd w:id="66"/>
      <w:r>
        <w:rPr>
          <w:rStyle w:val="10"/>
          <w:rFonts w:hint="eastAsia" w:cs="Arial"/>
          <w:b/>
          <w:bCs/>
          <w:color w:val="000000"/>
          <w:sz w:val="28"/>
          <w:szCs w:val="28"/>
        </w:rPr>
        <w:t>四、</w:t>
      </w:r>
      <w:r>
        <w:rPr>
          <w:rStyle w:val="10"/>
          <w:rFonts w:hint="eastAsia" w:cs="Arial"/>
          <w:b/>
          <w:bCs/>
          <w:color w:val="000000"/>
          <w:sz w:val="24"/>
          <w:szCs w:val="24"/>
        </w:rPr>
        <w:t>监事会的构成及其工作情况</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（一）监事会的构成情况</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本行监事的任职资格和选聘程序、监事会的人数和人员构成均符合《章程》的规定要求。报告期末，本行监事会由3名监事组成。</w:t>
      </w:r>
    </w:p>
    <w:p>
      <w:pPr>
        <w:pStyle w:val="7"/>
        <w:spacing w:before="0" w:beforeAutospacing="0" w:after="0" w:afterAutospacing="0"/>
        <w:jc w:val="both"/>
        <w:rPr>
          <w:rFonts w:ascii="微软雅黑" w:hAnsi="微软雅黑" w:eastAsia="微软雅黑"/>
          <w:color w:val="404040"/>
          <w:sz w:val="15"/>
          <w:szCs w:val="15"/>
        </w:rPr>
      </w:pPr>
      <w:r>
        <w:rPr>
          <w:rFonts w:hint="eastAsia" w:ascii="微软雅黑" w:hAnsi="微软雅黑" w:eastAsia="微软雅黑"/>
          <w:color w:val="404040"/>
          <w:sz w:val="15"/>
          <w:szCs w:val="15"/>
        </w:rPr>
        <w:t> </w:t>
      </w:r>
    </w:p>
    <w:tbl>
      <w:tblPr>
        <w:tblStyle w:val="8"/>
        <w:tblW w:w="4840"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
      <w:tblGrid>
        <w:gridCol w:w="855"/>
        <w:gridCol w:w="650"/>
        <w:gridCol w:w="678"/>
        <w:gridCol w:w="265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79" w:hRule="atLeast"/>
          <w:jc w:val="center"/>
        </w:trPr>
        <w:tc>
          <w:tcPr>
            <w:tcW w:w="855" w:type="dxa"/>
            <w:tcBorders>
              <w:top w:val="single" w:color="DDDDDD" w:sz="8" w:space="0"/>
              <w:left w:val="single" w:color="DDDDDD"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姓名</w:t>
            </w:r>
          </w:p>
        </w:tc>
        <w:tc>
          <w:tcPr>
            <w:tcW w:w="650" w:type="dxa"/>
            <w:tcBorders>
              <w:top w:val="single" w:color="DDDDDD" w:sz="8" w:space="0"/>
              <w:left w:val="single" w:color="auto"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性别</w:t>
            </w:r>
          </w:p>
        </w:tc>
        <w:tc>
          <w:tcPr>
            <w:tcW w:w="678" w:type="dxa"/>
            <w:tcBorders>
              <w:top w:val="single" w:color="DDDDDD" w:sz="8" w:space="0"/>
              <w:left w:val="single" w:color="auto"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学历</w:t>
            </w:r>
          </w:p>
        </w:tc>
        <w:tc>
          <w:tcPr>
            <w:tcW w:w="2657" w:type="dxa"/>
            <w:tcBorders>
              <w:top w:val="single" w:color="DDDDDD" w:sz="8" w:space="0"/>
              <w:left w:val="single" w:color="auto"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工作单位及职务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855" w:type="dxa"/>
            <w:tcBorders>
              <w:top w:val="nil"/>
              <w:left w:val="single" w:color="DDDDDD"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尚文娟</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女</w:t>
            </w:r>
          </w:p>
        </w:tc>
        <w:tc>
          <w:tcPr>
            <w:tcW w:w="67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本科</w:t>
            </w:r>
          </w:p>
        </w:tc>
        <w:tc>
          <w:tcPr>
            <w:tcW w:w="265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临猗县新田银行股份有限公司监事长</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51" w:hRule="atLeast"/>
          <w:jc w:val="center"/>
        </w:trPr>
        <w:tc>
          <w:tcPr>
            <w:tcW w:w="855" w:type="dxa"/>
            <w:tcBorders>
              <w:top w:val="nil"/>
              <w:left w:val="single" w:color="DDDDDD"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王稠虎</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男</w:t>
            </w:r>
          </w:p>
        </w:tc>
        <w:tc>
          <w:tcPr>
            <w:tcW w:w="67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eastAsia" w:ascii="微软雅黑" w:hAnsi="微软雅黑" w:eastAsia="微软雅黑"/>
                <w:color w:val="404040"/>
                <w:sz w:val="15"/>
                <w:szCs w:val="15"/>
                <w:lang w:val="en-US" w:eastAsia="zh-CN"/>
              </w:rPr>
            </w:pPr>
            <w:r>
              <w:rPr>
                <w:rFonts w:hint="eastAsia" w:ascii="微软雅黑" w:hAnsi="微软雅黑" w:eastAsia="微软雅黑"/>
                <w:color w:val="404040"/>
                <w:sz w:val="15"/>
                <w:szCs w:val="15"/>
              </w:rPr>
              <w:t xml:space="preserve">  </w:t>
            </w:r>
            <w:r>
              <w:rPr>
                <w:rFonts w:hint="eastAsia" w:ascii="微软雅黑" w:hAnsi="微软雅黑" w:eastAsia="微软雅黑"/>
                <w:color w:val="404040"/>
                <w:sz w:val="15"/>
                <w:szCs w:val="15"/>
                <w:lang w:val="en-US" w:eastAsia="zh-CN"/>
              </w:rPr>
              <w:t>专科</w:t>
            </w:r>
          </w:p>
        </w:tc>
        <w:tc>
          <w:tcPr>
            <w:tcW w:w="265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default" w:ascii="微软雅黑" w:hAnsi="微软雅黑" w:eastAsia="微软雅黑"/>
                <w:color w:val="404040"/>
                <w:sz w:val="15"/>
                <w:szCs w:val="15"/>
              </w:rPr>
              <w:t>临猗县凯睿塑业有限公司总经理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415" w:hRule="atLeast"/>
          <w:jc w:val="center"/>
        </w:trPr>
        <w:tc>
          <w:tcPr>
            <w:tcW w:w="855" w:type="dxa"/>
            <w:tcBorders>
              <w:top w:val="nil"/>
              <w:left w:val="single" w:color="DDDDDD"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段丽萍</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女</w:t>
            </w:r>
          </w:p>
        </w:tc>
        <w:tc>
          <w:tcPr>
            <w:tcW w:w="67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default" w:ascii="微软雅黑" w:hAnsi="微软雅黑" w:eastAsia="微软雅黑"/>
                <w:color w:val="404040"/>
                <w:sz w:val="15"/>
                <w:szCs w:val="15"/>
              </w:rPr>
              <w:t>专科</w:t>
            </w:r>
          </w:p>
        </w:tc>
        <w:tc>
          <w:tcPr>
            <w:tcW w:w="2657"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default" w:ascii="微软雅黑" w:hAnsi="微软雅黑" w:eastAsia="微软雅黑"/>
                <w:color w:val="404040"/>
                <w:sz w:val="15"/>
                <w:szCs w:val="15"/>
              </w:rPr>
              <w:t>飞达鑫房地产开发公司董事</w:t>
            </w:r>
          </w:p>
        </w:tc>
      </w:tr>
    </w:tbl>
    <w:p>
      <w:pPr>
        <w:pStyle w:val="7"/>
        <w:spacing w:before="0" w:beforeAutospacing="0" w:after="0" w:afterAutospacing="0"/>
        <w:jc w:val="both"/>
        <w:rPr>
          <w:rFonts w:ascii="微软雅黑" w:hAnsi="微软雅黑" w:eastAsia="微软雅黑"/>
          <w:color w:val="404040"/>
          <w:sz w:val="15"/>
          <w:szCs w:val="15"/>
        </w:rPr>
      </w:pPr>
      <w:r>
        <w:rPr>
          <w:rFonts w:hint="eastAsia" w:ascii="微软雅黑" w:hAnsi="微软雅黑" w:eastAsia="微软雅黑"/>
          <w:color w:val="404040"/>
          <w:sz w:val="15"/>
          <w:szCs w:val="15"/>
        </w:rPr>
        <w:t> </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（二）监事会工作情况</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报告期内，本行共召开了</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 xml:space="preserve">次监事会会议，会议程序符合银监会和《章程》的有关规定。 </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000000"/>
          <w:sz w:val="30"/>
          <w:szCs w:val="30"/>
        </w:rPr>
        <w:t>一级法人体制下召开的监事会：</w:t>
      </w:r>
    </w:p>
    <w:p>
      <w:pPr>
        <w:pStyle w:val="7"/>
        <w:spacing w:before="0" w:beforeAutospacing="0" w:after="0" w:afterAutospacing="0"/>
        <w:jc w:val="both"/>
        <w:rPr>
          <w:rFonts w:ascii="微软雅黑" w:hAnsi="微软雅黑" w:eastAsia="微软雅黑"/>
          <w:color w:val="404040"/>
          <w:sz w:val="15"/>
          <w:szCs w:val="15"/>
        </w:rPr>
      </w:pPr>
      <w:r>
        <w:rPr>
          <w:rFonts w:hint="eastAsia" w:ascii="微软雅黑" w:hAnsi="微软雅黑" w:eastAsia="微软雅黑"/>
          <w:color w:val="404040"/>
          <w:sz w:val="15"/>
          <w:szCs w:val="15"/>
        </w:rPr>
        <w:t> </w:t>
      </w:r>
    </w:p>
    <w:tbl>
      <w:tblPr>
        <w:tblStyle w:val="8"/>
        <w:tblW w:w="8963"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15" w:type="dxa"/>
          <w:left w:w="15" w:type="dxa"/>
          <w:bottom w:w="15" w:type="dxa"/>
          <w:right w:w="15" w:type="dxa"/>
        </w:tblCellMar>
      </w:tblPr>
      <w:tblGrid>
        <w:gridCol w:w="1418"/>
        <w:gridCol w:w="1179"/>
        <w:gridCol w:w="6366"/>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jc w:val="center"/>
        </w:trPr>
        <w:tc>
          <w:tcPr>
            <w:tcW w:w="141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会议名称</w:t>
            </w:r>
          </w:p>
        </w:tc>
        <w:tc>
          <w:tcPr>
            <w:tcW w:w="1179" w:type="dxa"/>
            <w:tcBorders>
              <w:top w:val="single" w:color="000000" w:sz="8" w:space="0"/>
              <w:left w:val="single" w:color="auto" w:sz="8" w:space="0"/>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时间</w:t>
            </w:r>
          </w:p>
        </w:tc>
        <w:tc>
          <w:tcPr>
            <w:tcW w:w="6366" w:type="dxa"/>
            <w:tcBorders>
              <w:top w:val="single" w:color="000000" w:sz="8" w:space="0"/>
              <w:left w:val="single" w:color="auto" w:sz="8" w:space="0"/>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工作情况</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trHeight w:val="801" w:hRule="atLeast"/>
          <w:jc w:val="center"/>
        </w:trPr>
        <w:tc>
          <w:tcPr>
            <w:tcW w:w="141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404040"/>
                <w:sz w:val="16"/>
                <w:szCs w:val="16"/>
              </w:rPr>
              <w:t>第二届第</w:t>
            </w:r>
            <w:r>
              <w:rPr>
                <w:rFonts w:hint="eastAsia" w:cs="Times New Roman"/>
                <w:color w:val="404040"/>
                <w:sz w:val="16"/>
                <w:szCs w:val="16"/>
                <w:lang w:val="en-US" w:eastAsia="zh-CN"/>
              </w:rPr>
              <w:t>三</w:t>
            </w:r>
            <w:r>
              <w:rPr>
                <w:rFonts w:hint="eastAsia" w:cs="Times New Roman"/>
                <w:color w:val="404040"/>
                <w:sz w:val="16"/>
                <w:szCs w:val="16"/>
              </w:rPr>
              <w:t>次监事会</w:t>
            </w:r>
          </w:p>
        </w:tc>
        <w:tc>
          <w:tcPr>
            <w:tcW w:w="1179" w:type="dxa"/>
            <w:tcBorders>
              <w:top w:val="nil"/>
              <w:left w:val="nil"/>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宋体"/>
                <w:color w:val="404040"/>
                <w:sz w:val="15"/>
                <w:szCs w:val="15"/>
                <w:lang w:val="en-US" w:eastAsia="zh-CN"/>
              </w:rPr>
            </w:pPr>
            <w:r>
              <w:rPr>
                <w:rFonts w:hint="eastAsia" w:cs="Times New Roman"/>
                <w:color w:val="404040"/>
                <w:sz w:val="16"/>
                <w:szCs w:val="16"/>
              </w:rPr>
              <w:t>201</w:t>
            </w:r>
            <w:r>
              <w:rPr>
                <w:rFonts w:hint="eastAsia" w:cs="Times New Roman"/>
                <w:color w:val="404040"/>
                <w:sz w:val="16"/>
                <w:szCs w:val="16"/>
                <w:lang w:val="en-US" w:eastAsia="zh-CN"/>
              </w:rPr>
              <w:t>9</w:t>
            </w:r>
            <w:r>
              <w:rPr>
                <w:rFonts w:hint="eastAsia" w:cs="Times New Roman"/>
                <w:color w:val="404040"/>
                <w:sz w:val="16"/>
                <w:szCs w:val="16"/>
              </w:rPr>
              <w:t>.5.</w:t>
            </w:r>
            <w:r>
              <w:rPr>
                <w:rFonts w:hint="eastAsia" w:cs="Times New Roman"/>
                <w:color w:val="404040"/>
                <w:sz w:val="16"/>
                <w:szCs w:val="16"/>
                <w:lang w:val="en-US" w:eastAsia="zh-CN"/>
              </w:rPr>
              <w:t>7</w:t>
            </w:r>
          </w:p>
        </w:tc>
        <w:tc>
          <w:tcPr>
            <w:tcW w:w="6366" w:type="dxa"/>
            <w:tcBorders>
              <w:top w:val="nil"/>
              <w:left w:val="nil"/>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微软雅黑"/>
                <w:color w:val="404040"/>
                <w:sz w:val="15"/>
                <w:szCs w:val="15"/>
              </w:rPr>
            </w:pPr>
            <w:r>
              <w:rPr>
                <w:rFonts w:hint="eastAsia" w:cs="Times New Roman"/>
                <w:color w:val="404040"/>
                <w:sz w:val="16"/>
                <w:szCs w:val="16"/>
              </w:rPr>
              <w:t>审议《关于临猗新田村镇银行2018年度财务决算报告及2019年度财务预算报告（草案）》的议案、《关于临猗新田村镇银行2018年度信息披露（草案）》的议案、《关于临猗新田村镇银行2019年消费者权益保护工作计划报告》的议案、《关于临猗新田村镇银行成立三农与小微企业金融服务委员会》的议案、《关于临猗新田村镇银行股东薛胜利、杨长锁等贷款授信》的议案、《关于临猗新田村镇银行2019年招聘员工》的议案、《关于临猗新田村镇银行股东分红》的议案、《关于股权集中登记托管》的议案、《关于提名刘彩红为临猗县新田村镇银行股份有限公司董事》的议案</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rPr>
          <w:jc w:val="center"/>
        </w:trPr>
        <w:tc>
          <w:tcPr>
            <w:tcW w:w="141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404040"/>
                <w:sz w:val="16"/>
                <w:szCs w:val="16"/>
              </w:rPr>
              <w:t>第三届第</w:t>
            </w:r>
            <w:r>
              <w:rPr>
                <w:rFonts w:hint="eastAsia" w:cs="Times New Roman"/>
                <w:color w:val="404040"/>
                <w:sz w:val="16"/>
                <w:szCs w:val="16"/>
                <w:lang w:val="en-US" w:eastAsia="zh-CN"/>
              </w:rPr>
              <w:t>四</w:t>
            </w:r>
            <w:r>
              <w:rPr>
                <w:rFonts w:hint="eastAsia" w:cs="Times New Roman"/>
                <w:color w:val="404040"/>
                <w:sz w:val="16"/>
                <w:szCs w:val="16"/>
              </w:rPr>
              <w:t>次监事会</w:t>
            </w:r>
          </w:p>
        </w:tc>
        <w:tc>
          <w:tcPr>
            <w:tcW w:w="1179" w:type="dxa"/>
            <w:tcBorders>
              <w:top w:val="nil"/>
              <w:left w:val="nil"/>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lang w:val="en-US" w:eastAsia="zh-CN"/>
              </w:rPr>
            </w:pPr>
            <w:r>
              <w:rPr>
                <w:rFonts w:hint="eastAsia" w:eastAsia="微软雅黑" w:cs="Times New Roman"/>
                <w:color w:val="404040"/>
                <w:sz w:val="16"/>
                <w:szCs w:val="16"/>
                <w:lang w:val="en-US" w:eastAsia="zh-CN"/>
              </w:rPr>
              <w:t>2019.11.28</w:t>
            </w:r>
          </w:p>
        </w:tc>
        <w:tc>
          <w:tcPr>
            <w:tcW w:w="6366" w:type="dxa"/>
            <w:tcBorders>
              <w:top w:val="nil"/>
              <w:left w:val="nil"/>
              <w:bottom w:val="single" w:color="000000" w:sz="8" w:space="0"/>
              <w:right w:val="single" w:color="000000"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rPr>
                <w:rFonts w:hint="default" w:ascii="微软雅黑" w:hAnsi="微软雅黑" w:eastAsia="宋体"/>
                <w:color w:val="404040"/>
                <w:sz w:val="15"/>
                <w:szCs w:val="15"/>
                <w:lang w:val="en-US" w:eastAsia="zh-CN"/>
              </w:rPr>
            </w:pPr>
            <w:r>
              <w:rPr>
                <w:rFonts w:hint="eastAsia" w:cs="Times New Roman"/>
                <w:color w:val="404040"/>
                <w:sz w:val="16"/>
                <w:szCs w:val="16"/>
              </w:rPr>
              <w:t>审议《临猗新田村镇银行201</w:t>
            </w:r>
            <w:r>
              <w:rPr>
                <w:rFonts w:hint="eastAsia" w:cs="Times New Roman"/>
                <w:color w:val="404040"/>
                <w:sz w:val="16"/>
                <w:szCs w:val="16"/>
                <w:lang w:val="en-US" w:eastAsia="zh-CN"/>
              </w:rPr>
              <w:t>9</w:t>
            </w:r>
            <w:r>
              <w:rPr>
                <w:rFonts w:hint="eastAsia" w:cs="Times New Roman"/>
                <w:color w:val="404040"/>
                <w:sz w:val="16"/>
                <w:szCs w:val="16"/>
              </w:rPr>
              <w:t>年内审报告》的议案、《临猗新田村镇银行</w:t>
            </w:r>
            <w:r>
              <w:rPr>
                <w:rFonts w:hint="eastAsia" w:cs="Times New Roman"/>
                <w:color w:val="404040"/>
                <w:sz w:val="16"/>
                <w:szCs w:val="16"/>
                <w:lang w:val="en-US" w:eastAsia="zh-CN"/>
              </w:rPr>
              <w:t>股份有限公司章程</w:t>
            </w:r>
            <w:r>
              <w:rPr>
                <w:rFonts w:hint="eastAsia" w:cs="Times New Roman"/>
                <w:color w:val="404040"/>
                <w:sz w:val="16"/>
                <w:szCs w:val="16"/>
              </w:rPr>
              <w:t>》的议案、《</w:t>
            </w:r>
            <w:r>
              <w:rPr>
                <w:rFonts w:hint="eastAsia" w:cs="Times New Roman"/>
                <w:color w:val="404040"/>
                <w:sz w:val="16"/>
                <w:szCs w:val="16"/>
                <w:lang w:val="en-US" w:eastAsia="zh-CN"/>
              </w:rPr>
              <w:t>临猗新田村镇银行关于股东股权托管</w:t>
            </w:r>
            <w:r>
              <w:rPr>
                <w:rFonts w:hint="eastAsia" w:cs="Times New Roman"/>
                <w:color w:val="404040"/>
                <w:sz w:val="16"/>
                <w:szCs w:val="16"/>
              </w:rPr>
              <w:t>》的议案、《审议临猗新田村镇银行</w:t>
            </w:r>
            <w:r>
              <w:rPr>
                <w:rFonts w:hint="eastAsia" w:cs="Times New Roman"/>
                <w:color w:val="404040"/>
                <w:sz w:val="16"/>
                <w:szCs w:val="16"/>
                <w:lang w:val="en-US" w:eastAsia="zh-CN"/>
              </w:rPr>
              <w:t>董事会下设关联交易控制委员会</w:t>
            </w:r>
            <w:r>
              <w:rPr>
                <w:rFonts w:hint="eastAsia" w:cs="Times New Roman"/>
                <w:color w:val="404040"/>
                <w:sz w:val="16"/>
                <w:szCs w:val="16"/>
              </w:rPr>
              <w:t>》的议案</w:t>
            </w:r>
            <w:r>
              <w:rPr>
                <w:rFonts w:hint="eastAsia" w:cs="Times New Roman"/>
                <w:color w:val="404040"/>
                <w:sz w:val="16"/>
                <w:szCs w:val="16"/>
                <w:lang w:eastAsia="zh-CN"/>
              </w:rPr>
              <w:t>《</w:t>
            </w:r>
            <w:r>
              <w:rPr>
                <w:rFonts w:hint="eastAsia" w:cs="Times New Roman"/>
                <w:color w:val="404040"/>
                <w:sz w:val="16"/>
                <w:szCs w:val="16"/>
                <w:lang w:val="en-US" w:eastAsia="zh-CN"/>
              </w:rPr>
              <w:t>关于临猗新田村镇银行股东薛胜利、杨长锁贷款授信的议案</w:t>
            </w:r>
            <w:r>
              <w:rPr>
                <w:rFonts w:hint="eastAsia" w:cs="Times New Roman"/>
                <w:color w:val="404040"/>
                <w:sz w:val="16"/>
                <w:szCs w:val="16"/>
                <w:lang w:eastAsia="zh-CN"/>
              </w:rPr>
              <w:t>》、《</w:t>
            </w:r>
            <w:r>
              <w:rPr>
                <w:rFonts w:hint="eastAsia" w:cs="Times New Roman"/>
                <w:color w:val="404040"/>
                <w:sz w:val="16"/>
                <w:szCs w:val="16"/>
                <w:lang w:val="en-US" w:eastAsia="zh-CN"/>
              </w:rPr>
              <w:t>关于临猗县新田村镇银行股份有限公司2019年员工等级管理办法的议案</w:t>
            </w:r>
            <w:r>
              <w:rPr>
                <w:rFonts w:hint="eastAsia" w:cs="Times New Roman"/>
                <w:color w:val="404040"/>
                <w:sz w:val="16"/>
                <w:szCs w:val="16"/>
                <w:lang w:eastAsia="zh-CN"/>
              </w:rPr>
              <w:t>》、《</w:t>
            </w:r>
            <w:r>
              <w:rPr>
                <w:rFonts w:hint="eastAsia" w:cs="Times New Roman"/>
                <w:color w:val="404040"/>
                <w:sz w:val="16"/>
                <w:szCs w:val="16"/>
                <w:lang w:val="en-US" w:eastAsia="zh-CN"/>
              </w:rPr>
              <w:t>关于对重大关联交易人薛宏胜、黄恒军贷款的审议议案</w:t>
            </w:r>
            <w:r>
              <w:rPr>
                <w:rFonts w:hint="eastAsia" w:cs="Times New Roman"/>
                <w:color w:val="404040"/>
                <w:sz w:val="16"/>
                <w:szCs w:val="16"/>
                <w:lang w:eastAsia="zh-CN"/>
              </w:rPr>
              <w:t>》</w:t>
            </w:r>
          </w:p>
        </w:tc>
      </w:tr>
    </w:tbl>
    <w:p>
      <w:pPr>
        <w:pStyle w:val="3"/>
        <w:spacing w:line="322" w:lineRule="atLeast"/>
        <w:jc w:val="both"/>
        <w:rPr>
          <w:rFonts w:ascii="微软雅黑" w:hAnsi="微软雅黑" w:eastAsia="微软雅黑"/>
          <w:color w:val="404040"/>
          <w:sz w:val="15"/>
          <w:szCs w:val="15"/>
        </w:rPr>
      </w:pPr>
      <w:r>
        <w:rPr>
          <w:rStyle w:val="10"/>
          <w:rFonts w:ascii="Arial" w:hAnsi="Arial" w:eastAsia="微软雅黑" w:cs="Arial"/>
          <w:b/>
          <w:bCs/>
          <w:color w:val="404040"/>
        </w:rPr>
        <w:t>   </w:t>
      </w:r>
      <w:r>
        <w:rPr>
          <w:rStyle w:val="11"/>
          <w:rFonts w:ascii="Arial" w:hAnsi="Arial" w:eastAsia="微软雅黑" w:cs="Arial"/>
          <w:color w:val="404040"/>
        </w:rPr>
        <w:t> </w:t>
      </w:r>
      <w:bookmarkStart w:id="67" w:name="_Toc481080014"/>
      <w:r>
        <w:rPr>
          <w:rStyle w:val="10"/>
          <w:rFonts w:hint="eastAsia" w:cs="Arial"/>
          <w:b/>
          <w:bCs/>
          <w:color w:val="000000"/>
          <w:sz w:val="28"/>
          <w:szCs w:val="28"/>
        </w:rPr>
        <w:t>五、</w:t>
      </w:r>
      <w:bookmarkEnd w:id="67"/>
      <w:r>
        <w:rPr>
          <w:rStyle w:val="10"/>
          <w:rFonts w:hint="eastAsia" w:cs="Arial"/>
          <w:b/>
          <w:bCs/>
          <w:color w:val="000000"/>
          <w:sz w:val="24"/>
          <w:szCs w:val="24"/>
        </w:rPr>
        <w:t>经营管理层成员及其基本情况</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本行经营管理层的任职资格和选聘程序、经营管理层的人数和人员构成符合《章程》的规定要求。本行经营管理层由1名行长主持经营班子工作，2名副行长协助行长工作。</w:t>
      </w:r>
    </w:p>
    <w:p>
      <w:pPr>
        <w:pStyle w:val="7"/>
        <w:spacing w:before="0" w:beforeAutospacing="0" w:after="0" w:afterAutospacing="0"/>
        <w:jc w:val="both"/>
        <w:rPr>
          <w:rFonts w:ascii="微软雅黑" w:hAnsi="微软雅黑" w:eastAsia="微软雅黑"/>
          <w:color w:val="404040"/>
          <w:sz w:val="15"/>
          <w:szCs w:val="15"/>
        </w:rPr>
      </w:pPr>
      <w:r>
        <w:rPr>
          <w:rFonts w:hint="eastAsia" w:ascii="微软雅黑" w:hAnsi="微软雅黑" w:eastAsia="微软雅黑"/>
          <w:color w:val="404040"/>
          <w:sz w:val="15"/>
          <w:szCs w:val="15"/>
        </w:rPr>
        <w:t> </w:t>
      </w:r>
    </w:p>
    <w:tbl>
      <w:tblPr>
        <w:tblStyle w:val="8"/>
        <w:tblW w:w="5953"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
      <w:tblGrid>
        <w:gridCol w:w="1599"/>
        <w:gridCol w:w="1179"/>
        <w:gridCol w:w="1179"/>
        <w:gridCol w:w="199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6" w:hRule="atLeast"/>
          <w:jc w:val="center"/>
        </w:trPr>
        <w:tc>
          <w:tcPr>
            <w:tcW w:w="1599" w:type="dxa"/>
            <w:tcBorders>
              <w:top w:val="single" w:color="DDDDDD" w:sz="8" w:space="0"/>
              <w:left w:val="single" w:color="DDDDDD"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姓名</w:t>
            </w:r>
          </w:p>
        </w:tc>
        <w:tc>
          <w:tcPr>
            <w:tcW w:w="1179" w:type="dxa"/>
            <w:tcBorders>
              <w:top w:val="single" w:color="DDDDDD" w:sz="8" w:space="0"/>
              <w:left w:val="single" w:color="auto"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性别</w:t>
            </w:r>
          </w:p>
        </w:tc>
        <w:tc>
          <w:tcPr>
            <w:tcW w:w="1179" w:type="dxa"/>
            <w:tcBorders>
              <w:top w:val="single" w:color="DDDDDD" w:sz="8" w:space="0"/>
              <w:left w:val="single" w:color="auto"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学历</w:t>
            </w:r>
          </w:p>
        </w:tc>
        <w:tc>
          <w:tcPr>
            <w:tcW w:w="1996" w:type="dxa"/>
            <w:tcBorders>
              <w:top w:val="single" w:color="DDDDDD" w:sz="8" w:space="0"/>
              <w:left w:val="single" w:color="auto"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职务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53" w:hRule="atLeast"/>
          <w:jc w:val="center"/>
        </w:trPr>
        <w:tc>
          <w:tcPr>
            <w:tcW w:w="1599" w:type="dxa"/>
            <w:tcBorders>
              <w:top w:val="nil"/>
              <w:left w:val="single" w:color="DDDDDD"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贾孟辉</w:t>
            </w:r>
          </w:p>
        </w:tc>
        <w:tc>
          <w:tcPr>
            <w:tcW w:w="1179"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男</w:t>
            </w:r>
          </w:p>
        </w:tc>
        <w:tc>
          <w:tcPr>
            <w:tcW w:w="1179"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本科</w:t>
            </w:r>
          </w:p>
        </w:tc>
        <w:tc>
          <w:tcPr>
            <w:tcW w:w="199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行长</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599" w:type="dxa"/>
            <w:tcBorders>
              <w:top w:val="nil"/>
              <w:left w:val="single" w:color="DDDDDD"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萧志鹏</w:t>
            </w:r>
          </w:p>
        </w:tc>
        <w:tc>
          <w:tcPr>
            <w:tcW w:w="1179"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男</w:t>
            </w:r>
          </w:p>
        </w:tc>
        <w:tc>
          <w:tcPr>
            <w:tcW w:w="1179"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专科</w:t>
            </w:r>
          </w:p>
        </w:tc>
        <w:tc>
          <w:tcPr>
            <w:tcW w:w="199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副行长</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51" w:hRule="atLeast"/>
          <w:jc w:val="center"/>
        </w:trPr>
        <w:tc>
          <w:tcPr>
            <w:tcW w:w="1599" w:type="dxa"/>
            <w:tcBorders>
              <w:top w:val="nil"/>
              <w:left w:val="single" w:color="DDDDDD" w:sz="8" w:space="0"/>
              <w:bottom w:val="single" w:color="DDDDDD" w:sz="8" w:space="0"/>
              <w:right w:val="single" w:color="DDDDDD"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李丹</w:t>
            </w:r>
          </w:p>
        </w:tc>
        <w:tc>
          <w:tcPr>
            <w:tcW w:w="1179"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女</w:t>
            </w:r>
          </w:p>
        </w:tc>
        <w:tc>
          <w:tcPr>
            <w:tcW w:w="1179"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本科</w:t>
            </w:r>
          </w:p>
        </w:tc>
        <w:tc>
          <w:tcPr>
            <w:tcW w:w="199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副行长</w:t>
            </w:r>
          </w:p>
        </w:tc>
      </w:tr>
    </w:tbl>
    <w:p>
      <w:pPr>
        <w:pStyle w:val="3"/>
        <w:spacing w:line="322" w:lineRule="atLeast"/>
        <w:jc w:val="both"/>
        <w:rPr>
          <w:rFonts w:ascii="微软雅黑" w:hAnsi="微软雅黑" w:eastAsia="微软雅黑"/>
          <w:color w:val="404040"/>
          <w:sz w:val="15"/>
          <w:szCs w:val="15"/>
        </w:rPr>
      </w:pPr>
      <w:bookmarkStart w:id="68" w:name="_Toc227401551"/>
      <w:bookmarkEnd w:id="68"/>
      <w:bookmarkStart w:id="69" w:name="_Toc193883078"/>
      <w:r>
        <w:rPr>
          <w:rStyle w:val="10"/>
          <w:rFonts w:ascii="Arial" w:hAnsi="Arial" w:eastAsia="微软雅黑" w:cs="Arial"/>
          <w:b/>
          <w:bCs/>
          <w:color w:val="404040"/>
        </w:rPr>
        <w:t>   </w:t>
      </w:r>
      <w:r>
        <w:rPr>
          <w:rStyle w:val="11"/>
          <w:rFonts w:ascii="Arial" w:hAnsi="Arial" w:eastAsia="微软雅黑" w:cs="Arial"/>
          <w:color w:val="404040"/>
        </w:rPr>
        <w:t> </w:t>
      </w:r>
      <w:bookmarkEnd w:id="69"/>
      <w:bookmarkStart w:id="70" w:name="_Toc481080015"/>
      <w:r>
        <w:rPr>
          <w:rStyle w:val="10"/>
          <w:rFonts w:hint="eastAsia" w:cs="Arial"/>
          <w:b/>
          <w:bCs/>
          <w:color w:val="404040"/>
          <w:sz w:val="28"/>
          <w:szCs w:val="28"/>
        </w:rPr>
        <w:t>六、</w:t>
      </w:r>
      <w:bookmarkEnd w:id="70"/>
      <w:r>
        <w:rPr>
          <w:rStyle w:val="10"/>
          <w:rFonts w:hint="eastAsia" w:cs="Arial"/>
          <w:b/>
          <w:bCs/>
          <w:color w:val="404040"/>
          <w:sz w:val="24"/>
          <w:szCs w:val="24"/>
        </w:rPr>
        <w:t>职能部门与分支机构设置情况</w:t>
      </w:r>
    </w:p>
    <w:p>
      <w:pPr>
        <w:pStyle w:val="7"/>
        <w:spacing w:before="0" w:beforeAutospacing="0" w:after="0" w:afterAutospacing="0"/>
        <w:ind w:firstLine="600" w:firstLineChars="200"/>
        <w:jc w:val="both"/>
        <w:rPr>
          <w:rFonts w:hint="eastAsia" w:ascii="仿宋" w:hAnsi="仿宋" w:eastAsia="仿宋" w:cs="仿宋"/>
          <w:color w:val="404040"/>
          <w:sz w:val="30"/>
          <w:szCs w:val="30"/>
        </w:rPr>
      </w:pPr>
      <w:bookmarkStart w:id="71" w:name="_（一）职能部门设置情况"/>
      <w:bookmarkEnd w:id="71"/>
      <w:r>
        <w:rPr>
          <w:rFonts w:hint="eastAsia" w:ascii="仿宋" w:hAnsi="仿宋" w:eastAsia="仿宋" w:cs="仿宋"/>
          <w:color w:val="404040"/>
          <w:sz w:val="30"/>
          <w:szCs w:val="30"/>
        </w:rPr>
        <w:t>本行机构设置遵循“简洁、高效”原则，本行下设综合办公室、营业部、综合业务部、计划财务部、风险合规部、科技部、策划部7个职能部门和庙上支行、临晋支行、耽子支行、孙吉支行。</w:t>
      </w:r>
    </w:p>
    <w:p>
      <w:pPr>
        <w:pStyle w:val="7"/>
        <w:spacing w:before="0" w:beforeAutospacing="0" w:after="0" w:afterAutospacing="0"/>
        <w:jc w:val="both"/>
        <w:rPr>
          <w:rFonts w:hint="eastAsia" w:ascii="仿宋" w:hAnsi="仿宋" w:eastAsia="仿宋" w:cs="仿宋"/>
          <w:color w:val="404040"/>
          <w:sz w:val="30"/>
          <w:szCs w:val="30"/>
        </w:rPr>
      </w:pPr>
      <w:bookmarkStart w:id="72" w:name="_Toc193883081"/>
      <w:r>
        <w:rPr>
          <w:rFonts w:hint="eastAsia" w:ascii="仿宋" w:hAnsi="仿宋" w:eastAsia="仿宋" w:cs="仿宋"/>
          <w:color w:val="404040"/>
          <w:sz w:val="30"/>
          <w:szCs w:val="30"/>
        </w:rPr>
        <w:t>本行在岗正式员工92人，其中43名具有大专学历，49名具有本科学历，员工平均年龄25岁。</w:t>
      </w:r>
      <w:bookmarkEnd w:id="72"/>
    </w:p>
    <w:p>
      <w:pPr>
        <w:pStyle w:val="2"/>
        <w:spacing w:before="0" w:beforeAutospacing="0" w:after="0" w:afterAutospacing="0" w:line="387" w:lineRule="atLeast"/>
        <w:jc w:val="center"/>
        <w:rPr>
          <w:rFonts w:ascii="微软雅黑" w:hAnsi="微软雅黑" w:eastAsia="微软雅黑"/>
          <w:color w:val="404040"/>
          <w:sz w:val="17"/>
          <w:szCs w:val="17"/>
        </w:rPr>
      </w:pPr>
      <w:bookmarkStart w:id="73" w:name="_Toc481080016"/>
      <w:r>
        <w:rPr>
          <w:rStyle w:val="10"/>
          <w:rFonts w:hint="eastAsia"/>
          <w:b/>
          <w:bCs/>
          <w:color w:val="000000"/>
          <w:sz w:val="30"/>
          <w:szCs w:val="30"/>
        </w:rPr>
        <w:t>第六章　年度重大事项</w:t>
      </w:r>
      <w:bookmarkEnd w:id="73"/>
    </w:p>
    <w:p>
      <w:pPr>
        <w:pStyle w:val="3"/>
        <w:spacing w:line="322" w:lineRule="atLeast"/>
        <w:jc w:val="both"/>
        <w:rPr>
          <w:rFonts w:ascii="微软雅黑" w:hAnsi="微软雅黑" w:eastAsia="微软雅黑"/>
          <w:color w:val="404040"/>
          <w:sz w:val="15"/>
          <w:szCs w:val="15"/>
        </w:rPr>
      </w:pPr>
      <w:bookmarkStart w:id="74" w:name="_Toc193883083"/>
      <w:r>
        <w:rPr>
          <w:rStyle w:val="10"/>
          <w:rFonts w:ascii="Arial" w:hAnsi="Arial" w:eastAsia="微软雅黑" w:cs="Arial"/>
          <w:b/>
          <w:bCs/>
          <w:color w:val="404040"/>
        </w:rPr>
        <w:t>   </w:t>
      </w:r>
      <w:r>
        <w:rPr>
          <w:rStyle w:val="11"/>
          <w:rFonts w:ascii="Arial" w:hAnsi="Arial" w:eastAsia="微软雅黑" w:cs="Arial"/>
          <w:color w:val="404040"/>
        </w:rPr>
        <w:t> </w:t>
      </w:r>
      <w:bookmarkEnd w:id="74"/>
      <w:bookmarkStart w:id="75" w:name="_Toc481080017"/>
      <w:r>
        <w:rPr>
          <w:rStyle w:val="10"/>
          <w:rFonts w:hint="eastAsia" w:cs="Arial"/>
          <w:b/>
          <w:bCs/>
          <w:color w:val="000000"/>
          <w:sz w:val="28"/>
          <w:szCs w:val="28"/>
        </w:rPr>
        <w:t>一、</w:t>
      </w:r>
      <w:bookmarkEnd w:id="75"/>
      <w:r>
        <w:rPr>
          <w:rStyle w:val="10"/>
          <w:rFonts w:hint="eastAsia" w:cs="Arial"/>
          <w:b/>
          <w:bCs/>
          <w:color w:val="000000"/>
          <w:sz w:val="24"/>
          <w:szCs w:val="24"/>
        </w:rPr>
        <w:t>最大十名股东及报告期内变动情况</w:t>
      </w:r>
    </w:p>
    <w:p>
      <w:pPr>
        <w:pStyle w:val="7"/>
        <w:spacing w:before="0" w:beforeAutospacing="0" w:after="0" w:afterAutospacing="0"/>
        <w:ind w:firstLine="600" w:firstLineChars="200"/>
        <w:jc w:val="both"/>
        <w:rPr>
          <w:rFonts w:ascii="微软雅黑" w:hAnsi="微软雅黑" w:eastAsia="微软雅黑"/>
          <w:color w:val="404040"/>
          <w:sz w:val="15"/>
          <w:szCs w:val="15"/>
        </w:rPr>
      </w:pPr>
      <w:r>
        <w:rPr>
          <w:rFonts w:hint="eastAsia" w:ascii="仿宋" w:hAnsi="仿宋" w:eastAsia="仿宋" w:cs="仿宋"/>
          <w:color w:val="000000"/>
          <w:sz w:val="30"/>
          <w:szCs w:val="30"/>
        </w:rPr>
        <w:t>201</w:t>
      </w:r>
      <w:r>
        <w:rPr>
          <w:rFonts w:hint="eastAsia" w:ascii="仿宋" w:hAnsi="仿宋" w:eastAsia="仿宋" w:cs="仿宋"/>
          <w:color w:val="000000"/>
          <w:sz w:val="30"/>
          <w:szCs w:val="30"/>
          <w:lang w:val="en-US" w:eastAsia="zh-CN"/>
        </w:rPr>
        <w:t>9</w:t>
      </w:r>
      <w:r>
        <w:rPr>
          <w:rFonts w:hint="eastAsia" w:ascii="仿宋" w:hAnsi="仿宋" w:eastAsia="仿宋" w:cs="仿宋"/>
          <w:color w:val="000000"/>
          <w:sz w:val="30"/>
          <w:szCs w:val="30"/>
        </w:rPr>
        <w:t>年度，本行最大和唯一大股东为山西侯马农村商业银行股份有限公司（主发起行），占股20%；共有十四名股东，最大股东持股1200万元，持股比例20%。报告期内，本行十四名股东没有变动。具体如下：</w:t>
      </w:r>
    </w:p>
    <w:p>
      <w:pPr>
        <w:pStyle w:val="7"/>
        <w:spacing w:before="0" w:beforeAutospacing="0" w:after="0" w:afterAutospacing="0"/>
        <w:jc w:val="both"/>
        <w:rPr>
          <w:rFonts w:ascii="微软雅黑" w:hAnsi="微软雅黑" w:eastAsia="微软雅黑"/>
          <w:color w:val="404040"/>
          <w:sz w:val="15"/>
          <w:szCs w:val="15"/>
        </w:rPr>
      </w:pPr>
      <w:r>
        <w:rPr>
          <w:rFonts w:hint="eastAsia" w:ascii="微软雅黑" w:hAnsi="微软雅黑" w:eastAsia="微软雅黑"/>
          <w:color w:val="404040"/>
          <w:sz w:val="15"/>
          <w:szCs w:val="15"/>
        </w:rPr>
        <w:t> </w:t>
      </w:r>
    </w:p>
    <w:tbl>
      <w:tblPr>
        <w:tblStyle w:val="8"/>
        <w:tblW w:w="7581"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
      <w:tblGrid>
        <w:gridCol w:w="820"/>
        <w:gridCol w:w="2971"/>
        <w:gridCol w:w="2356"/>
        <w:gridCol w:w="143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421" w:hRule="atLeast"/>
          <w:jc w:val="center"/>
        </w:trPr>
        <w:tc>
          <w:tcPr>
            <w:tcW w:w="820" w:type="dxa"/>
            <w:tcBorders>
              <w:top w:val="single" w:color="DDDDDD" w:sz="8" w:space="0"/>
              <w:left w:val="single" w:color="DDDDDD"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序号</w:t>
            </w:r>
          </w:p>
        </w:tc>
        <w:tc>
          <w:tcPr>
            <w:tcW w:w="2971" w:type="dxa"/>
            <w:tcBorders>
              <w:top w:val="single" w:color="DDDDDD" w:sz="8" w:space="0"/>
              <w:left w:val="single" w:color="auto"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姓  名</w:t>
            </w:r>
          </w:p>
        </w:tc>
        <w:tc>
          <w:tcPr>
            <w:tcW w:w="2356" w:type="dxa"/>
            <w:tcBorders>
              <w:top w:val="single" w:color="DDDDDD" w:sz="8" w:space="0"/>
              <w:left w:val="single" w:color="auto"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持股股金额（万元）</w:t>
            </w:r>
          </w:p>
        </w:tc>
        <w:tc>
          <w:tcPr>
            <w:tcW w:w="1434" w:type="dxa"/>
            <w:tcBorders>
              <w:top w:val="single" w:color="DDDDDD" w:sz="8" w:space="0"/>
              <w:left w:val="single" w:color="auto"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Style w:val="10"/>
                <w:rFonts w:hint="eastAsia" w:cs="Times New Roman"/>
                <w:color w:val="000000"/>
                <w:sz w:val="16"/>
                <w:szCs w:val="16"/>
              </w:rPr>
              <w:t>股份比例%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421" w:hRule="atLeast"/>
          <w:jc w:val="center"/>
        </w:trPr>
        <w:tc>
          <w:tcPr>
            <w:tcW w:w="820" w:type="dxa"/>
            <w:tcBorders>
              <w:top w:val="nil"/>
              <w:left w:val="single" w:color="DDDDDD"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1</w:t>
            </w:r>
          </w:p>
        </w:tc>
        <w:tc>
          <w:tcPr>
            <w:tcW w:w="2971"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山西侯马农村商业银行股份有限公司（主发起行）</w:t>
            </w:r>
          </w:p>
        </w:tc>
        <w:tc>
          <w:tcPr>
            <w:tcW w:w="2356"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1200</w:t>
            </w:r>
          </w:p>
        </w:tc>
        <w:tc>
          <w:tcPr>
            <w:tcW w:w="1434"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20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421" w:hRule="atLeast"/>
          <w:jc w:val="center"/>
        </w:trPr>
        <w:tc>
          <w:tcPr>
            <w:tcW w:w="820" w:type="dxa"/>
            <w:tcBorders>
              <w:top w:val="nil"/>
              <w:left w:val="single" w:color="DDDDDD" w:sz="8" w:space="0"/>
              <w:bottom w:val="single" w:color="DDDDDD" w:sz="8" w:space="0"/>
              <w:right w:val="single" w:color="DDDDDD" w:sz="8" w:space="0"/>
            </w:tcBorders>
            <w:tcMar>
              <w:top w:w="15" w:type="dxa"/>
              <w:left w:w="15" w:type="dxa"/>
              <w:bottom w:w="0" w:type="dxa"/>
              <w:right w:w="15" w:type="dxa"/>
            </w:tcMar>
            <w:vAlign w:val="center"/>
          </w:tcPr>
          <w:p>
            <w:pPr>
              <w:pStyle w:val="5"/>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olor w:val="000000"/>
                <w:sz w:val="16"/>
                <w:szCs w:val="16"/>
              </w:rPr>
              <w:t>2</w:t>
            </w:r>
          </w:p>
        </w:tc>
        <w:tc>
          <w:tcPr>
            <w:tcW w:w="2971"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default" w:ascii="微软雅黑" w:hAnsi="微软雅黑" w:eastAsia="微软雅黑"/>
                <w:color w:val="404040"/>
                <w:sz w:val="15"/>
                <w:szCs w:val="15"/>
              </w:rPr>
              <w:t>吉林德惠农村商业银行股份有限公司</w:t>
            </w:r>
          </w:p>
        </w:tc>
        <w:tc>
          <w:tcPr>
            <w:tcW w:w="2356"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594</w:t>
            </w:r>
          </w:p>
        </w:tc>
        <w:tc>
          <w:tcPr>
            <w:tcW w:w="1434"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9.9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421" w:hRule="atLeast"/>
          <w:jc w:val="center"/>
        </w:trPr>
        <w:tc>
          <w:tcPr>
            <w:tcW w:w="820" w:type="dxa"/>
            <w:tcBorders>
              <w:top w:val="nil"/>
              <w:left w:val="single" w:color="DDDDDD"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3</w:t>
            </w:r>
          </w:p>
        </w:tc>
        <w:tc>
          <w:tcPr>
            <w:tcW w:w="2971"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薛胜利</w:t>
            </w:r>
          </w:p>
        </w:tc>
        <w:tc>
          <w:tcPr>
            <w:tcW w:w="2356"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600</w:t>
            </w:r>
          </w:p>
        </w:tc>
        <w:tc>
          <w:tcPr>
            <w:tcW w:w="1434"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10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63" w:hRule="atLeast"/>
          <w:jc w:val="center"/>
        </w:trPr>
        <w:tc>
          <w:tcPr>
            <w:tcW w:w="820" w:type="dxa"/>
            <w:tcBorders>
              <w:top w:val="nil"/>
              <w:left w:val="single" w:color="DDDDDD"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4</w:t>
            </w:r>
          </w:p>
        </w:tc>
        <w:tc>
          <w:tcPr>
            <w:tcW w:w="2971"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default" w:ascii="微软雅黑" w:hAnsi="微软雅黑" w:eastAsia="微软雅黑"/>
                <w:color w:val="404040"/>
                <w:sz w:val="15"/>
                <w:szCs w:val="15"/>
              </w:rPr>
              <w:t>杨长锁</w:t>
            </w:r>
          </w:p>
        </w:tc>
        <w:tc>
          <w:tcPr>
            <w:tcW w:w="2356"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600</w:t>
            </w:r>
          </w:p>
        </w:tc>
        <w:tc>
          <w:tcPr>
            <w:tcW w:w="1434"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10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820" w:type="dxa"/>
            <w:tcBorders>
              <w:top w:val="nil"/>
              <w:left w:val="single" w:color="DDDDDD"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5</w:t>
            </w:r>
          </w:p>
        </w:tc>
        <w:tc>
          <w:tcPr>
            <w:tcW w:w="2971"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ascii="微软雅黑" w:hAnsi="微软雅黑" w:eastAsia="微软雅黑"/>
                <w:color w:val="404040"/>
                <w:sz w:val="15"/>
                <w:szCs w:val="15"/>
              </w:rPr>
              <w:t>刘彩红</w:t>
            </w:r>
          </w:p>
        </w:tc>
        <w:tc>
          <w:tcPr>
            <w:tcW w:w="2356"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540</w:t>
            </w:r>
          </w:p>
        </w:tc>
        <w:tc>
          <w:tcPr>
            <w:tcW w:w="1434"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33" w:hRule="atLeast"/>
          <w:jc w:val="center"/>
        </w:trPr>
        <w:tc>
          <w:tcPr>
            <w:tcW w:w="820" w:type="dxa"/>
            <w:tcBorders>
              <w:top w:val="nil"/>
              <w:left w:val="single" w:color="DDDDDD"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6</w:t>
            </w:r>
          </w:p>
        </w:tc>
        <w:tc>
          <w:tcPr>
            <w:tcW w:w="2971"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ascii="微软雅黑" w:hAnsi="微软雅黑" w:eastAsia="微软雅黑"/>
                <w:color w:val="404040"/>
                <w:sz w:val="15"/>
                <w:szCs w:val="15"/>
              </w:rPr>
              <w:t>魏海军</w:t>
            </w:r>
          </w:p>
        </w:tc>
        <w:tc>
          <w:tcPr>
            <w:tcW w:w="2356"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480</w:t>
            </w:r>
          </w:p>
        </w:tc>
        <w:tc>
          <w:tcPr>
            <w:tcW w:w="1434"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81" w:hRule="atLeast"/>
          <w:jc w:val="center"/>
        </w:trPr>
        <w:tc>
          <w:tcPr>
            <w:tcW w:w="820" w:type="dxa"/>
            <w:tcBorders>
              <w:top w:val="nil"/>
              <w:left w:val="single" w:color="DDDDDD"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7</w:t>
            </w:r>
          </w:p>
        </w:tc>
        <w:tc>
          <w:tcPr>
            <w:tcW w:w="2971"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付雪琴</w:t>
            </w:r>
          </w:p>
        </w:tc>
        <w:tc>
          <w:tcPr>
            <w:tcW w:w="2356"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360</w:t>
            </w:r>
          </w:p>
        </w:tc>
        <w:tc>
          <w:tcPr>
            <w:tcW w:w="1434"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404" w:hRule="atLeast"/>
          <w:jc w:val="center"/>
        </w:trPr>
        <w:tc>
          <w:tcPr>
            <w:tcW w:w="820" w:type="dxa"/>
            <w:tcBorders>
              <w:top w:val="nil"/>
              <w:left w:val="single" w:color="DDDDDD"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8</w:t>
            </w:r>
          </w:p>
        </w:tc>
        <w:tc>
          <w:tcPr>
            <w:tcW w:w="2971"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段丽萍</w:t>
            </w:r>
          </w:p>
        </w:tc>
        <w:tc>
          <w:tcPr>
            <w:tcW w:w="2356"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300</w:t>
            </w:r>
          </w:p>
        </w:tc>
        <w:tc>
          <w:tcPr>
            <w:tcW w:w="1434"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352" w:hRule="atLeast"/>
          <w:jc w:val="center"/>
        </w:trPr>
        <w:tc>
          <w:tcPr>
            <w:tcW w:w="820" w:type="dxa"/>
            <w:tcBorders>
              <w:top w:val="nil"/>
              <w:left w:val="single" w:color="DDDDDD"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9</w:t>
            </w:r>
          </w:p>
        </w:tc>
        <w:tc>
          <w:tcPr>
            <w:tcW w:w="2971"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eastAsia" w:ascii="微软雅黑" w:hAnsi="微软雅黑" w:eastAsia="宋体"/>
                <w:color w:val="404040"/>
                <w:sz w:val="15"/>
                <w:szCs w:val="15"/>
                <w:lang w:val="en-US" w:eastAsia="zh-CN"/>
              </w:rPr>
            </w:pPr>
            <w:r>
              <w:rPr>
                <w:rFonts w:hint="eastAsia" w:cs="Times New Roman"/>
                <w:color w:val="000000"/>
                <w:sz w:val="16"/>
                <w:szCs w:val="16"/>
              </w:rPr>
              <w:t>荆</w:t>
            </w:r>
            <w:r>
              <w:rPr>
                <w:rFonts w:hint="eastAsia" w:cs="Times New Roman"/>
                <w:color w:val="000000"/>
                <w:sz w:val="16"/>
                <w:szCs w:val="16"/>
                <w:lang w:val="en-US" w:eastAsia="zh-CN"/>
              </w:rPr>
              <w:t>欣</w:t>
            </w:r>
          </w:p>
        </w:tc>
        <w:tc>
          <w:tcPr>
            <w:tcW w:w="2356"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300</w:t>
            </w:r>
          </w:p>
        </w:tc>
        <w:tc>
          <w:tcPr>
            <w:tcW w:w="1434"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82" w:hRule="atLeast"/>
          <w:jc w:val="center"/>
        </w:trPr>
        <w:tc>
          <w:tcPr>
            <w:tcW w:w="820" w:type="dxa"/>
            <w:tcBorders>
              <w:top w:val="nil"/>
              <w:left w:val="single" w:color="DDDDDD"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10</w:t>
            </w:r>
          </w:p>
        </w:tc>
        <w:tc>
          <w:tcPr>
            <w:tcW w:w="2971"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袁淑兰</w:t>
            </w:r>
          </w:p>
        </w:tc>
        <w:tc>
          <w:tcPr>
            <w:tcW w:w="2356"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246</w:t>
            </w:r>
          </w:p>
        </w:tc>
        <w:tc>
          <w:tcPr>
            <w:tcW w:w="1434"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4.1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82" w:hRule="atLeast"/>
          <w:jc w:val="center"/>
        </w:trPr>
        <w:tc>
          <w:tcPr>
            <w:tcW w:w="820" w:type="dxa"/>
            <w:tcBorders>
              <w:top w:val="nil"/>
              <w:left w:val="single" w:color="DDDDDD"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cs="Times New Roman"/>
                <w:color w:val="000000"/>
                <w:sz w:val="16"/>
                <w:szCs w:val="16"/>
              </w:rPr>
            </w:pPr>
            <w:r>
              <w:rPr>
                <w:rFonts w:hint="eastAsia" w:cs="Times New Roman"/>
                <w:color w:val="000000"/>
                <w:sz w:val="16"/>
                <w:szCs w:val="16"/>
              </w:rPr>
              <w:t>11</w:t>
            </w:r>
          </w:p>
        </w:tc>
        <w:tc>
          <w:tcPr>
            <w:tcW w:w="2971"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cs="Times New Roman"/>
                <w:color w:val="000000"/>
                <w:sz w:val="16"/>
                <w:szCs w:val="16"/>
              </w:rPr>
            </w:pPr>
            <w:r>
              <w:rPr>
                <w:rFonts w:hint="eastAsia" w:cs="Times New Roman"/>
                <w:color w:val="000000"/>
                <w:sz w:val="16"/>
                <w:szCs w:val="16"/>
              </w:rPr>
              <w:t>程占平</w:t>
            </w:r>
          </w:p>
        </w:tc>
        <w:tc>
          <w:tcPr>
            <w:tcW w:w="2356"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cs="Times New Roman"/>
                <w:color w:val="000000"/>
                <w:sz w:val="16"/>
                <w:szCs w:val="16"/>
              </w:rPr>
            </w:pPr>
            <w:r>
              <w:rPr>
                <w:rFonts w:hint="eastAsia" w:cs="Times New Roman"/>
                <w:color w:val="000000"/>
                <w:sz w:val="16"/>
                <w:szCs w:val="16"/>
              </w:rPr>
              <w:t>240</w:t>
            </w:r>
          </w:p>
        </w:tc>
        <w:tc>
          <w:tcPr>
            <w:tcW w:w="1434"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cs="Times New Roman"/>
                <w:color w:val="000000"/>
                <w:sz w:val="16"/>
                <w:szCs w:val="16"/>
              </w:rPr>
            </w:pPr>
            <w:r>
              <w:rPr>
                <w:rFonts w:hint="eastAsia" w:cs="Times New Roman"/>
                <w:color w:val="000000"/>
                <w:sz w:val="16"/>
                <w:szCs w:val="16"/>
              </w:rPr>
              <w:t>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82" w:hRule="atLeast"/>
          <w:jc w:val="center"/>
        </w:trPr>
        <w:tc>
          <w:tcPr>
            <w:tcW w:w="820" w:type="dxa"/>
            <w:tcBorders>
              <w:top w:val="nil"/>
              <w:left w:val="single" w:color="DDDDDD"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cs="Times New Roman"/>
                <w:color w:val="000000"/>
                <w:sz w:val="16"/>
                <w:szCs w:val="16"/>
              </w:rPr>
            </w:pPr>
            <w:r>
              <w:rPr>
                <w:rFonts w:hint="eastAsia" w:cs="Times New Roman"/>
                <w:color w:val="000000"/>
                <w:sz w:val="16"/>
                <w:szCs w:val="16"/>
              </w:rPr>
              <w:t>12</w:t>
            </w:r>
          </w:p>
        </w:tc>
        <w:tc>
          <w:tcPr>
            <w:tcW w:w="2971"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cs="Times New Roman"/>
                <w:color w:val="000000"/>
                <w:sz w:val="16"/>
                <w:szCs w:val="16"/>
              </w:rPr>
            </w:pPr>
            <w:r>
              <w:rPr>
                <w:rFonts w:hint="eastAsia" w:cs="Times New Roman"/>
                <w:color w:val="000000"/>
                <w:sz w:val="16"/>
                <w:szCs w:val="16"/>
              </w:rPr>
              <w:t>刘永忠</w:t>
            </w:r>
          </w:p>
        </w:tc>
        <w:tc>
          <w:tcPr>
            <w:tcW w:w="2356"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cs="Times New Roman"/>
                <w:color w:val="000000"/>
                <w:sz w:val="16"/>
                <w:szCs w:val="16"/>
              </w:rPr>
            </w:pPr>
            <w:r>
              <w:rPr>
                <w:rFonts w:hint="eastAsia" w:cs="Times New Roman"/>
                <w:color w:val="000000"/>
                <w:sz w:val="16"/>
                <w:szCs w:val="16"/>
              </w:rPr>
              <w:t>240</w:t>
            </w:r>
          </w:p>
        </w:tc>
        <w:tc>
          <w:tcPr>
            <w:tcW w:w="1434"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cs="Times New Roman"/>
                <w:color w:val="000000"/>
                <w:sz w:val="16"/>
                <w:szCs w:val="16"/>
              </w:rPr>
            </w:pPr>
            <w:r>
              <w:rPr>
                <w:rFonts w:hint="eastAsia" w:cs="Times New Roman"/>
                <w:color w:val="000000"/>
                <w:sz w:val="16"/>
                <w:szCs w:val="16"/>
              </w:rPr>
              <w:t>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82" w:hRule="atLeast"/>
          <w:jc w:val="center"/>
        </w:trPr>
        <w:tc>
          <w:tcPr>
            <w:tcW w:w="820" w:type="dxa"/>
            <w:tcBorders>
              <w:top w:val="nil"/>
              <w:left w:val="single" w:color="DDDDDD"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cs="Times New Roman"/>
                <w:color w:val="000000"/>
                <w:sz w:val="16"/>
                <w:szCs w:val="16"/>
              </w:rPr>
            </w:pPr>
            <w:r>
              <w:rPr>
                <w:rFonts w:hint="eastAsia" w:cs="Times New Roman"/>
                <w:color w:val="000000"/>
                <w:sz w:val="16"/>
                <w:szCs w:val="16"/>
              </w:rPr>
              <w:t>13</w:t>
            </w:r>
          </w:p>
        </w:tc>
        <w:tc>
          <w:tcPr>
            <w:tcW w:w="2971"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cs="Times New Roman"/>
                <w:color w:val="000000"/>
                <w:sz w:val="16"/>
                <w:szCs w:val="16"/>
              </w:rPr>
            </w:pPr>
            <w:r>
              <w:rPr>
                <w:rFonts w:hint="eastAsia" w:cs="Times New Roman"/>
                <w:color w:val="000000"/>
                <w:sz w:val="16"/>
                <w:szCs w:val="16"/>
              </w:rPr>
              <w:t>王稠虎</w:t>
            </w:r>
          </w:p>
        </w:tc>
        <w:tc>
          <w:tcPr>
            <w:tcW w:w="2356"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cs="Times New Roman"/>
                <w:color w:val="000000"/>
                <w:sz w:val="16"/>
                <w:szCs w:val="16"/>
              </w:rPr>
            </w:pPr>
            <w:r>
              <w:rPr>
                <w:rFonts w:hint="eastAsia" w:cs="Times New Roman"/>
                <w:color w:val="000000"/>
                <w:sz w:val="16"/>
                <w:szCs w:val="16"/>
              </w:rPr>
              <w:t>180</w:t>
            </w:r>
          </w:p>
        </w:tc>
        <w:tc>
          <w:tcPr>
            <w:tcW w:w="1434"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cs="Times New Roman"/>
                <w:color w:val="000000"/>
                <w:sz w:val="16"/>
                <w:szCs w:val="16"/>
              </w:rPr>
            </w:pPr>
            <w:r>
              <w:rPr>
                <w:rFonts w:hint="eastAsia" w:cs="Times New Roman"/>
                <w:color w:val="000000"/>
                <w:sz w:val="16"/>
                <w:szCs w:val="16"/>
              </w:rPr>
              <w:t>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82" w:hRule="atLeast"/>
          <w:jc w:val="center"/>
        </w:trPr>
        <w:tc>
          <w:tcPr>
            <w:tcW w:w="820" w:type="dxa"/>
            <w:tcBorders>
              <w:top w:val="nil"/>
              <w:left w:val="single" w:color="DDDDDD"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cs="Times New Roman"/>
                <w:color w:val="000000"/>
                <w:sz w:val="16"/>
                <w:szCs w:val="16"/>
              </w:rPr>
            </w:pPr>
            <w:r>
              <w:rPr>
                <w:rFonts w:hint="eastAsia" w:cs="Times New Roman"/>
                <w:color w:val="000000"/>
                <w:sz w:val="16"/>
                <w:szCs w:val="16"/>
              </w:rPr>
              <w:t>14</w:t>
            </w:r>
          </w:p>
        </w:tc>
        <w:tc>
          <w:tcPr>
            <w:tcW w:w="2971"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cs="Times New Roman"/>
                <w:color w:val="000000"/>
                <w:sz w:val="16"/>
                <w:szCs w:val="16"/>
              </w:rPr>
            </w:pPr>
            <w:r>
              <w:rPr>
                <w:rFonts w:hint="eastAsia" w:cs="Times New Roman"/>
                <w:color w:val="000000"/>
                <w:sz w:val="16"/>
                <w:szCs w:val="16"/>
              </w:rPr>
              <w:t>王勤生</w:t>
            </w:r>
          </w:p>
        </w:tc>
        <w:tc>
          <w:tcPr>
            <w:tcW w:w="2356"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cs="Times New Roman"/>
                <w:color w:val="000000"/>
                <w:sz w:val="16"/>
                <w:szCs w:val="16"/>
              </w:rPr>
            </w:pPr>
            <w:r>
              <w:rPr>
                <w:rFonts w:hint="eastAsia" w:cs="Times New Roman"/>
                <w:color w:val="000000"/>
                <w:sz w:val="16"/>
                <w:szCs w:val="16"/>
              </w:rPr>
              <w:t>120</w:t>
            </w:r>
          </w:p>
        </w:tc>
        <w:tc>
          <w:tcPr>
            <w:tcW w:w="1434"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cs="Times New Roman"/>
                <w:color w:val="000000"/>
                <w:sz w:val="16"/>
                <w:szCs w:val="16"/>
              </w:rPr>
            </w:pPr>
            <w:r>
              <w:rPr>
                <w:rFonts w:hint="eastAsia" w:cs="Times New Roman"/>
                <w:color w:val="000000"/>
                <w:sz w:val="16"/>
                <w:szCs w:val="16"/>
              </w:rPr>
              <w:t>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3791" w:type="dxa"/>
            <w:gridSpan w:val="2"/>
            <w:tcBorders>
              <w:top w:val="nil"/>
              <w:left w:val="single" w:color="DDDDDD" w:sz="8" w:space="0"/>
              <w:bottom w:val="single" w:color="DDDDDD" w:sz="8" w:space="0"/>
              <w:right w:val="single" w:color="DDDDDD"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合计</w:t>
            </w:r>
          </w:p>
        </w:tc>
        <w:tc>
          <w:tcPr>
            <w:tcW w:w="2356"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lang w:val="en-US" w:eastAsia="zh-CN"/>
              </w:rPr>
            </w:pPr>
            <w:r>
              <w:rPr>
                <w:rFonts w:hint="eastAsia" w:eastAsia="微软雅黑" w:cs="Times New Roman"/>
                <w:color w:val="000000"/>
                <w:sz w:val="16"/>
                <w:szCs w:val="16"/>
                <w:lang w:val="en-US" w:eastAsia="zh-CN"/>
              </w:rPr>
              <w:t>6000</w:t>
            </w:r>
          </w:p>
        </w:tc>
        <w:tc>
          <w:tcPr>
            <w:tcW w:w="1434" w:type="dxa"/>
            <w:tcBorders>
              <w:top w:val="nil"/>
              <w:left w:val="nil"/>
              <w:bottom w:val="single" w:color="auto" w:sz="8" w:space="0"/>
              <w:right w:val="single" w:color="auto" w:sz="8" w:space="0"/>
            </w:tcBorders>
            <w:tcMar>
              <w:top w:w="15" w:type="dxa"/>
              <w:left w:w="15" w:type="dxa"/>
              <w:bottom w:w="0" w:type="dxa"/>
              <w:right w:w="15" w:type="dxa"/>
            </w:tcMar>
            <w:vAlign w:val="center"/>
          </w:tcPr>
          <w:p>
            <w:pPr>
              <w:pStyle w:val="7"/>
              <w:keepNext w:val="0"/>
              <w:keepLines w:val="0"/>
              <w:suppressLineNumbers w:val="0"/>
              <w:spacing w:before="0" w:beforeAutospacing="0" w:after="0" w:afterAutospacing="0"/>
              <w:ind w:left="0" w:right="0"/>
              <w:jc w:val="center"/>
              <w:rPr>
                <w:rFonts w:hint="default" w:ascii="微软雅黑" w:hAnsi="微软雅黑" w:eastAsia="微软雅黑"/>
                <w:color w:val="404040"/>
                <w:sz w:val="15"/>
                <w:szCs w:val="15"/>
              </w:rPr>
            </w:pPr>
            <w:r>
              <w:rPr>
                <w:rFonts w:hint="eastAsia" w:cs="Times New Roman"/>
                <w:color w:val="000000"/>
                <w:sz w:val="16"/>
                <w:szCs w:val="16"/>
              </w:rPr>
              <w:t>100</w:t>
            </w:r>
          </w:p>
        </w:tc>
      </w:tr>
    </w:tbl>
    <w:p>
      <w:pPr>
        <w:pStyle w:val="3"/>
        <w:spacing w:line="322" w:lineRule="atLeast"/>
        <w:jc w:val="both"/>
        <w:rPr>
          <w:rFonts w:ascii="微软雅黑" w:hAnsi="微软雅黑" w:eastAsia="微软雅黑"/>
          <w:color w:val="404040"/>
          <w:sz w:val="15"/>
          <w:szCs w:val="15"/>
        </w:rPr>
      </w:pPr>
      <w:bookmarkStart w:id="76" w:name="_Toc481080018"/>
      <w:r>
        <w:rPr>
          <w:rStyle w:val="10"/>
          <w:rFonts w:hint="eastAsia" w:cs="Arial"/>
          <w:b/>
          <w:bCs/>
          <w:color w:val="000000"/>
          <w:sz w:val="28"/>
          <w:szCs w:val="28"/>
        </w:rPr>
        <w:t>二、</w:t>
      </w:r>
      <w:bookmarkEnd w:id="76"/>
      <w:r>
        <w:rPr>
          <w:rStyle w:val="10"/>
          <w:rFonts w:hint="eastAsia" w:cs="Arial"/>
          <w:b/>
          <w:bCs/>
          <w:color w:val="000000"/>
          <w:sz w:val="24"/>
          <w:szCs w:val="24"/>
        </w:rPr>
        <w:t>增加或减少注册资本、分立合并事项</w:t>
      </w:r>
    </w:p>
    <w:p>
      <w:pPr>
        <w:pStyle w:val="7"/>
        <w:spacing w:before="0" w:beforeAutospacing="0" w:after="0" w:afterAutospacing="0"/>
        <w:ind w:firstLine="600" w:firstLineChars="200"/>
        <w:jc w:val="both"/>
        <w:rPr>
          <w:rFonts w:ascii="微软雅黑" w:hAnsi="微软雅黑" w:eastAsia="微软雅黑"/>
          <w:color w:val="404040"/>
          <w:sz w:val="15"/>
          <w:szCs w:val="15"/>
        </w:rPr>
      </w:pPr>
      <w:r>
        <w:rPr>
          <w:rFonts w:hint="eastAsia" w:ascii="仿宋" w:hAnsi="仿宋" w:eastAsia="仿宋" w:cs="仿宋"/>
          <w:color w:val="000000"/>
          <w:sz w:val="30"/>
          <w:szCs w:val="30"/>
        </w:rPr>
        <w:t>报告期内，本行没有增加或减少注册资本，无分立合并事项</w:t>
      </w:r>
      <w:r>
        <w:rPr>
          <w:rFonts w:hint="eastAsia" w:cs="Times New Roman"/>
          <w:color w:val="000000"/>
        </w:rPr>
        <w:t>。</w:t>
      </w:r>
    </w:p>
    <w:p>
      <w:pPr>
        <w:pStyle w:val="7"/>
        <w:spacing w:before="0" w:beforeAutospacing="0" w:after="0" w:afterAutospacing="0"/>
        <w:jc w:val="both"/>
        <w:rPr>
          <w:rFonts w:ascii="微软雅黑" w:hAnsi="微软雅黑" w:eastAsia="微软雅黑"/>
          <w:color w:val="404040"/>
          <w:sz w:val="15"/>
          <w:szCs w:val="15"/>
        </w:rPr>
      </w:pPr>
      <w:r>
        <w:rPr>
          <w:rStyle w:val="10"/>
          <w:rFonts w:ascii="Arial" w:hAnsi="Arial" w:eastAsia="微软雅黑" w:cs="Arial"/>
          <w:color w:val="404040"/>
          <w:sz w:val="32"/>
          <w:szCs w:val="32"/>
        </w:rPr>
        <w:t> </w:t>
      </w:r>
      <w:bookmarkStart w:id="77" w:name="_Toc481080019"/>
      <w:r>
        <w:rPr>
          <w:rStyle w:val="10"/>
          <w:rFonts w:hint="eastAsia" w:cs="Arial"/>
          <w:color w:val="000000"/>
          <w:sz w:val="28"/>
          <w:szCs w:val="28"/>
        </w:rPr>
        <w:t>三、</w:t>
      </w:r>
      <w:bookmarkEnd w:id="77"/>
      <w:r>
        <w:rPr>
          <w:rStyle w:val="10"/>
          <w:rFonts w:hint="eastAsia" w:cs="Arial"/>
          <w:color w:val="000000"/>
        </w:rPr>
        <w:t>本行、本行董事会及董事接受处罚情况</w:t>
      </w:r>
    </w:p>
    <w:p>
      <w:pPr>
        <w:pStyle w:val="7"/>
        <w:spacing w:before="0" w:beforeAutospacing="0" w:after="0" w:afterAutospacing="0"/>
        <w:ind w:firstLine="600" w:firstLineChars="200"/>
        <w:jc w:val="both"/>
        <w:rPr>
          <w:rFonts w:hint="eastAsia" w:ascii="仿宋" w:hAnsi="仿宋" w:eastAsia="仿宋" w:cs="仿宋"/>
          <w:color w:val="404040"/>
          <w:sz w:val="30"/>
          <w:szCs w:val="30"/>
        </w:rPr>
      </w:pPr>
      <w:r>
        <w:rPr>
          <w:rFonts w:hint="eastAsia" w:ascii="仿宋" w:hAnsi="仿宋" w:eastAsia="仿宋" w:cs="仿宋"/>
          <w:color w:val="000000"/>
          <w:sz w:val="30"/>
          <w:szCs w:val="30"/>
        </w:rPr>
        <w:t>报告期内，本行、本行董事会及董事没有接受处罚情况。</w:t>
      </w:r>
    </w:p>
    <w:p>
      <w:pPr>
        <w:pStyle w:val="7"/>
        <w:spacing w:before="0" w:beforeAutospacing="0" w:after="0" w:afterAutospacing="0"/>
        <w:jc w:val="both"/>
        <w:rPr>
          <w:rFonts w:hint="eastAsia" w:ascii="仿宋" w:hAnsi="仿宋" w:eastAsia="仿宋" w:cs="仿宋"/>
          <w:color w:val="404040"/>
          <w:sz w:val="30"/>
          <w:szCs w:val="30"/>
        </w:rPr>
      </w:pPr>
      <w:r>
        <w:rPr>
          <w:rFonts w:hint="eastAsia" w:ascii="仿宋" w:hAnsi="仿宋" w:eastAsia="仿宋" w:cs="仿宋"/>
          <w:color w:val="404040"/>
          <w:sz w:val="30"/>
          <w:szCs w:val="30"/>
        </w:rPr>
        <w:t> </w:t>
      </w:r>
    </w:p>
    <w:p>
      <w:pPr>
        <w:pStyle w:val="7"/>
        <w:spacing w:before="0" w:beforeAutospacing="0" w:after="0" w:afterAutospacing="0"/>
        <w:rPr>
          <w:rFonts w:ascii="微软雅黑" w:hAnsi="微软雅黑" w:eastAsia="微软雅黑"/>
          <w:color w:val="404040"/>
          <w:sz w:val="15"/>
          <w:szCs w:val="15"/>
        </w:rPr>
      </w:pPr>
      <w:r>
        <w:rPr>
          <w:rFonts w:hint="eastAsia" w:ascii="微软雅黑" w:hAnsi="微软雅黑" w:eastAsia="微软雅黑"/>
          <w:color w:val="404040"/>
          <w:sz w:val="15"/>
          <w:szCs w:val="15"/>
        </w:rPr>
        <w:t> </w:t>
      </w:r>
    </w:p>
    <w:p>
      <w:pPr>
        <w:pStyle w:val="7"/>
        <w:spacing w:before="0" w:beforeAutospacing="0" w:after="0" w:afterAutospacing="0"/>
        <w:rPr>
          <w:rFonts w:ascii="微软雅黑" w:hAnsi="微软雅黑" w:eastAsia="微软雅黑"/>
          <w:color w:val="404040"/>
          <w:sz w:val="15"/>
          <w:szCs w:val="15"/>
        </w:rPr>
      </w:pPr>
      <w:r>
        <w:rPr>
          <w:rFonts w:hint="eastAsia" w:ascii="微软雅黑" w:hAnsi="微软雅黑" w:eastAsia="微软雅黑"/>
          <w:color w:val="404040"/>
          <w:sz w:val="15"/>
          <w:szCs w:val="15"/>
        </w:rPr>
        <w:t> </w:t>
      </w:r>
    </w:p>
    <w:p>
      <w:pPr>
        <w:pStyle w:val="7"/>
        <w:spacing w:before="0" w:beforeAutospacing="0" w:after="0" w:afterAutospacing="0"/>
        <w:jc w:val="right"/>
        <w:rPr>
          <w:rFonts w:ascii="微软雅黑" w:hAnsi="微软雅黑" w:eastAsia="微软雅黑"/>
          <w:color w:val="404040"/>
          <w:sz w:val="15"/>
          <w:szCs w:val="15"/>
        </w:rPr>
      </w:pPr>
      <w:r>
        <w:rPr>
          <w:rFonts w:hint="eastAsia" w:cs="Times New Roman"/>
          <w:color w:val="000000"/>
        </w:rPr>
        <w:t>临猗县新田村镇银行股份有限公司</w:t>
      </w:r>
    </w:p>
    <w:p>
      <w:pPr>
        <w:pStyle w:val="7"/>
        <w:spacing w:before="0" w:beforeAutospacing="0" w:after="0" w:afterAutospacing="0"/>
        <w:jc w:val="right"/>
        <w:rPr>
          <w:rFonts w:ascii="Times New Roman" w:hAnsi="Times New Roman" w:eastAsia="微软雅黑" w:cs="Times New Roman"/>
          <w:color w:val="404040"/>
          <w:sz w:val="21"/>
          <w:szCs w:val="21"/>
        </w:rPr>
      </w:pPr>
      <w:r>
        <w:rPr>
          <w:rFonts w:ascii="Times New Roman" w:hAnsi="Times New Roman" w:eastAsia="微软雅黑" w:cs="Times New Roman"/>
          <w:color w:val="404040"/>
          <w:sz w:val="21"/>
          <w:szCs w:val="21"/>
        </w:rPr>
        <w:t>　　</w:t>
      </w:r>
    </w:p>
    <w:p>
      <w:pPr>
        <w:pStyle w:val="7"/>
        <w:spacing w:before="0" w:beforeAutospacing="0" w:after="0" w:afterAutospacing="0"/>
        <w:jc w:val="right"/>
        <w:rPr>
          <w:rFonts w:ascii="微软雅黑" w:hAnsi="微软雅黑" w:eastAsia="微软雅黑"/>
          <w:color w:val="404040"/>
          <w:sz w:val="15"/>
          <w:szCs w:val="15"/>
        </w:rPr>
      </w:pPr>
      <w:r>
        <w:rPr>
          <w:rFonts w:hint="eastAsia" w:cs="Times New Roman"/>
          <w:color w:val="000000"/>
          <w:lang w:val="en-US" w:eastAsia="zh-CN"/>
        </w:rPr>
        <w:t>2020</w:t>
      </w:r>
      <w:r>
        <w:rPr>
          <w:rFonts w:hint="eastAsia" w:cs="Times New Roman"/>
          <w:color w:val="000000"/>
        </w:rPr>
        <w:t>年</w:t>
      </w:r>
      <w:r>
        <w:rPr>
          <w:rFonts w:hint="eastAsia" w:cs="Times New Roman"/>
          <w:color w:val="000000"/>
          <w:lang w:val="en-US" w:eastAsia="zh-CN"/>
        </w:rPr>
        <w:t>1</w:t>
      </w:r>
      <w:r>
        <w:rPr>
          <w:rFonts w:hint="eastAsia" w:cs="Times New Roman"/>
          <w:color w:val="000000"/>
        </w:rPr>
        <w:t>月</w:t>
      </w:r>
      <w:r>
        <w:rPr>
          <w:rFonts w:hint="eastAsia" w:cs="Times New Roman"/>
          <w:color w:val="000000"/>
          <w:lang w:val="en-US" w:eastAsia="zh-CN"/>
        </w:rPr>
        <w:t>1</w:t>
      </w:r>
      <w:bookmarkStart w:id="78" w:name="_GoBack"/>
      <w:bookmarkEnd w:id="78"/>
      <w:r>
        <w:rPr>
          <w:rFonts w:hint="eastAsia" w:cs="Times New Roman"/>
          <w:color w:val="00000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C06F9"/>
    <w:rsid w:val="09693275"/>
    <w:rsid w:val="0A0875DF"/>
    <w:rsid w:val="0BC03220"/>
    <w:rsid w:val="0C837B05"/>
    <w:rsid w:val="0ED97CD0"/>
    <w:rsid w:val="0F3A2198"/>
    <w:rsid w:val="14AF6554"/>
    <w:rsid w:val="1AE41018"/>
    <w:rsid w:val="25F46591"/>
    <w:rsid w:val="26273A30"/>
    <w:rsid w:val="28286D2F"/>
    <w:rsid w:val="31FB2B1C"/>
    <w:rsid w:val="45A77600"/>
    <w:rsid w:val="481C6087"/>
    <w:rsid w:val="49B43F62"/>
    <w:rsid w:val="513E19A7"/>
    <w:rsid w:val="55994A44"/>
    <w:rsid w:val="58B52FE5"/>
    <w:rsid w:val="59FA6256"/>
    <w:rsid w:val="5A8D4FAF"/>
    <w:rsid w:val="5D9A708B"/>
    <w:rsid w:val="60D240F5"/>
    <w:rsid w:val="62B33DFA"/>
    <w:rsid w:val="66A12438"/>
    <w:rsid w:val="6F1F7F6A"/>
    <w:rsid w:val="73355795"/>
    <w:rsid w:val="734F5589"/>
    <w:rsid w:val="751846AB"/>
    <w:rsid w:val="798D68DE"/>
    <w:rsid w:val="7B120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3">
    <w:name w:val="heading 2"/>
    <w:basedOn w:val="1"/>
    <w:next w:val="1"/>
    <w:unhideWhenUsed/>
    <w:qFormat/>
    <w:uiPriority w:val="9"/>
    <w:pPr>
      <w:keepNext/>
      <w:keepLines/>
      <w:spacing w:before="260" w:after="260" w:line="416" w:lineRule="auto"/>
      <w:outlineLvl w:val="1"/>
    </w:pPr>
    <w:rPr>
      <w:rFonts w:ascii="Cambria" w:hAnsi="Cambria" w:eastAsia="宋体" w:cs="黑体"/>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Indent"/>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5">
    <w:name w:val="Plain Text"/>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6">
    <w:name w:val="Body Text Indent 2"/>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7">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0">
    <w:name w:val="Strong"/>
    <w:basedOn w:val="9"/>
    <w:qFormat/>
    <w:uiPriority w:val="22"/>
    <w:rPr>
      <w:b/>
      <w:bCs/>
    </w:rPr>
  </w:style>
  <w:style w:type="character" w:customStyle="1" w:styleId="11">
    <w:name w:val="apple-converted-space"/>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2019-11-05T08:02:00Z</dcterms:created>
  <dc:creator>Lenovo</dc:creator>
  <cp:lastModifiedBy>李少杰</cp:lastModifiedBy>
  <dcterms:modified xsi:type="dcterms:W3CDTF">2020-07-08T07:29:25Z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